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80AE3" w14:textId="1F19C1E8" w:rsidR="006302FA" w:rsidRPr="006302FA" w:rsidRDefault="006302FA" w:rsidP="006302FA">
      <w:pPr>
        <w:rPr>
          <w:rFonts w:cs="Calibri"/>
          <w:b/>
          <w:bCs/>
          <w:szCs w:val="24"/>
          <w:lang w:eastAsia="en-GB"/>
        </w:rPr>
      </w:pPr>
      <w:r>
        <w:rPr>
          <w:rFonts w:cs="Calibri"/>
          <w:b/>
          <w:bCs/>
          <w:caps/>
          <w:szCs w:val="24"/>
          <w:lang w:eastAsia="en-GB"/>
        </w:rPr>
        <w:t xml:space="preserve">quick reference: pharmaceutical waste </w:t>
      </w:r>
      <w:r w:rsidRPr="006302FA">
        <w:rPr>
          <w:rFonts w:cs="Calibri"/>
          <w:b/>
          <w:bCs/>
          <w:caps/>
          <w:szCs w:val="24"/>
          <w:lang w:eastAsia="en-GB"/>
        </w:rPr>
        <w:t>DISPOSAL</w:t>
      </w:r>
    </w:p>
    <w:p w14:paraId="07C66509" w14:textId="77777777" w:rsidR="006302FA" w:rsidRPr="00587FAF" w:rsidRDefault="006302FA" w:rsidP="006302FA">
      <w:pPr>
        <w:rPr>
          <w:rFonts w:cs="Calibri"/>
          <w:szCs w:val="24"/>
          <w:lang w:eastAsia="en-GB"/>
        </w:rPr>
      </w:pPr>
    </w:p>
    <w:p w14:paraId="611EB115" w14:textId="77777777" w:rsidR="006302FA" w:rsidRPr="00587FAF" w:rsidRDefault="006302FA" w:rsidP="006302FA">
      <w:pPr>
        <w:jc w:val="both"/>
        <w:rPr>
          <w:rFonts w:cs="Calibri"/>
          <w:b/>
          <w:szCs w:val="24"/>
        </w:rPr>
      </w:pPr>
      <w:r w:rsidRPr="00587FAF">
        <w:rPr>
          <w:rFonts w:cs="Calibri"/>
          <w:szCs w:val="24"/>
        </w:rPr>
        <w:t xml:space="preserve">Any outer inert packaging and Patient Information Leaflets may be placed into ordinary paper/cardboard waste containers for recycling, however, </w:t>
      </w:r>
      <w:r w:rsidRPr="00587FAF">
        <w:rPr>
          <w:rFonts w:cs="Calibri"/>
          <w:b/>
          <w:szCs w:val="24"/>
        </w:rPr>
        <w:t>packaging that has patient sensitive information must be disposed of in the confidential waste bin.</w:t>
      </w:r>
    </w:p>
    <w:p w14:paraId="717C4FE9" w14:textId="77777777" w:rsidR="006302FA" w:rsidRPr="00587FAF" w:rsidRDefault="006302FA" w:rsidP="006302FA">
      <w:pPr>
        <w:rPr>
          <w:rFonts w:cs="Calibri"/>
          <w:szCs w:val="24"/>
        </w:rPr>
      </w:pPr>
    </w:p>
    <w:p w14:paraId="4912A351" w14:textId="40F3556C" w:rsidR="006302FA" w:rsidRPr="00587FAF" w:rsidRDefault="006302FA" w:rsidP="006302FA">
      <w:pPr>
        <w:pStyle w:val="PolicyParagraph2"/>
        <w:ind w:left="0" w:firstLine="0"/>
        <w:rPr>
          <w:rFonts w:ascii="Calibri" w:hAnsi="Calibri" w:cs="Calibri"/>
          <w:b/>
          <w:sz w:val="24"/>
          <w:lang w:eastAsia="en-GB"/>
        </w:rPr>
      </w:pPr>
      <w:r w:rsidRPr="006302FA">
        <w:rPr>
          <w:rFonts w:ascii="Calibri" w:hAnsi="Calibri" w:cs="Calibri"/>
          <w:b/>
          <w:bCs/>
          <w:sz w:val="24"/>
          <w:lang w:eastAsia="en-GB"/>
        </w:rPr>
        <w:t>Please note the following table</w:t>
      </w:r>
      <w:r>
        <w:rPr>
          <w:rFonts w:ascii="Calibri" w:hAnsi="Calibri" w:cs="Calibri"/>
          <w:sz w:val="24"/>
          <w:lang w:eastAsia="en-GB"/>
        </w:rPr>
        <w:t xml:space="preserve"> </w:t>
      </w:r>
      <w:r w:rsidRPr="00587FAF">
        <w:rPr>
          <w:rFonts w:ascii="Calibri" w:hAnsi="Calibri" w:cs="Calibri"/>
          <w:b/>
          <w:sz w:val="24"/>
          <w:lang w:eastAsia="en-GB"/>
        </w:rPr>
        <w:t>does not apply to CDs of any</w:t>
      </w:r>
      <w:r>
        <w:rPr>
          <w:rFonts w:ascii="Calibri" w:hAnsi="Calibri" w:cs="Calibri"/>
          <w:b/>
          <w:sz w:val="24"/>
          <w:lang w:eastAsia="en-GB"/>
        </w:rPr>
        <w:t xml:space="preserve"> schedule, please refer to separate information about safe disposal of controlled drugs.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095"/>
        <w:gridCol w:w="6060"/>
      </w:tblGrid>
      <w:tr w:rsidR="006302FA" w:rsidRPr="00391013" w14:paraId="298CA58A" w14:textId="77777777" w:rsidTr="006302FA">
        <w:trPr>
          <w:cantSplit/>
          <w:tblHeader/>
        </w:trPr>
        <w:tc>
          <w:tcPr>
            <w:tcW w:w="826" w:type="pct"/>
            <w:vAlign w:val="center"/>
          </w:tcPr>
          <w:p w14:paraId="6B103610" w14:textId="77777777" w:rsidR="006302FA" w:rsidRPr="00391013" w:rsidRDefault="006302FA" w:rsidP="009477C3">
            <w:pPr>
              <w:spacing w:before="20" w:after="20"/>
              <w:rPr>
                <w:rFonts w:cs="Calibri"/>
                <w:b/>
                <w:sz w:val="23"/>
                <w:szCs w:val="23"/>
                <w:lang w:eastAsia="en-GB"/>
              </w:rPr>
            </w:pPr>
            <w:r w:rsidRPr="00391013">
              <w:rPr>
                <w:rFonts w:cs="Calibri"/>
                <w:b/>
                <w:sz w:val="23"/>
                <w:szCs w:val="23"/>
                <w:lang w:eastAsia="en-GB"/>
              </w:rPr>
              <w:t>Pharmaceutical</w:t>
            </w:r>
          </w:p>
        </w:tc>
        <w:tc>
          <w:tcPr>
            <w:tcW w:w="2093" w:type="pct"/>
            <w:vAlign w:val="center"/>
          </w:tcPr>
          <w:p w14:paraId="67F6E345" w14:textId="77777777" w:rsidR="006302FA" w:rsidRPr="00391013" w:rsidRDefault="006302FA" w:rsidP="009477C3">
            <w:pPr>
              <w:spacing w:before="20" w:after="20"/>
              <w:rPr>
                <w:rFonts w:cs="Calibri"/>
                <w:b/>
                <w:sz w:val="23"/>
                <w:szCs w:val="23"/>
                <w:lang w:eastAsia="en-GB"/>
              </w:rPr>
            </w:pPr>
            <w:r w:rsidRPr="00391013">
              <w:rPr>
                <w:rFonts w:cs="Calibri"/>
                <w:b/>
                <w:sz w:val="23"/>
                <w:szCs w:val="23"/>
                <w:lang w:eastAsia="en-GB"/>
              </w:rPr>
              <w:t>Disposal Advice</w:t>
            </w:r>
          </w:p>
        </w:tc>
        <w:tc>
          <w:tcPr>
            <w:tcW w:w="2081" w:type="pct"/>
            <w:vAlign w:val="center"/>
          </w:tcPr>
          <w:p w14:paraId="0579B7CB" w14:textId="77777777" w:rsidR="006302FA" w:rsidRPr="00391013" w:rsidRDefault="006302FA" w:rsidP="009477C3">
            <w:pPr>
              <w:spacing w:before="20" w:after="20"/>
              <w:rPr>
                <w:rFonts w:cs="Calibri"/>
                <w:b/>
                <w:sz w:val="23"/>
                <w:szCs w:val="23"/>
                <w:lang w:eastAsia="en-GB"/>
              </w:rPr>
            </w:pPr>
            <w:r w:rsidRPr="00391013">
              <w:rPr>
                <w:rFonts w:cs="Calibri"/>
                <w:b/>
                <w:sz w:val="23"/>
                <w:szCs w:val="23"/>
                <w:lang w:eastAsia="en-GB"/>
              </w:rPr>
              <w:t>Notes</w:t>
            </w:r>
          </w:p>
        </w:tc>
      </w:tr>
      <w:tr w:rsidR="006302FA" w:rsidRPr="00391013" w14:paraId="42AA2F07" w14:textId="77777777" w:rsidTr="006302FA">
        <w:trPr>
          <w:cantSplit/>
        </w:trPr>
        <w:tc>
          <w:tcPr>
            <w:tcW w:w="826" w:type="pct"/>
            <w:vAlign w:val="center"/>
          </w:tcPr>
          <w:p w14:paraId="13B75ADB"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Aerosol devices</w:t>
            </w:r>
          </w:p>
        </w:tc>
        <w:tc>
          <w:tcPr>
            <w:tcW w:w="2093" w:type="pct"/>
            <w:vAlign w:val="center"/>
          </w:tcPr>
          <w:p w14:paraId="7C252E1D"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Remove product from inert packaging and place in waste container.</w:t>
            </w:r>
          </w:p>
        </w:tc>
        <w:tc>
          <w:tcPr>
            <w:tcW w:w="2081" w:type="pct"/>
            <w:vAlign w:val="center"/>
          </w:tcPr>
          <w:p w14:paraId="39671555" w14:textId="25FF6128" w:rsidR="006302FA" w:rsidRPr="00391013" w:rsidRDefault="006302FA" w:rsidP="009477C3">
            <w:pPr>
              <w:spacing w:before="20" w:after="20"/>
              <w:rPr>
                <w:rFonts w:cs="Calibri"/>
                <w:sz w:val="23"/>
                <w:szCs w:val="23"/>
                <w:lang w:eastAsia="en-GB"/>
              </w:rPr>
            </w:pPr>
            <w:r>
              <w:rPr>
                <w:rFonts w:cs="Calibri"/>
                <w:sz w:val="23"/>
                <w:szCs w:val="23"/>
                <w:lang w:eastAsia="en-GB"/>
              </w:rPr>
              <w:t>T</w:t>
            </w:r>
            <w:r w:rsidRPr="00391013">
              <w:rPr>
                <w:rFonts w:cs="Calibri"/>
                <w:sz w:val="23"/>
                <w:szCs w:val="23"/>
                <w:lang w:eastAsia="en-GB"/>
              </w:rPr>
              <w:t xml:space="preserve">he canister itself can often be pulled from the plastic part of metered dose inhalers.  Do not dismantle other devices e.g. </w:t>
            </w:r>
            <w:proofErr w:type="spellStart"/>
            <w:r w:rsidRPr="00391013">
              <w:rPr>
                <w:rFonts w:cs="Calibri"/>
                <w:sz w:val="23"/>
                <w:szCs w:val="23"/>
                <w:lang w:eastAsia="en-GB"/>
              </w:rPr>
              <w:t>Accuhalers</w:t>
            </w:r>
            <w:proofErr w:type="spellEnd"/>
            <w:r w:rsidRPr="00391013">
              <w:rPr>
                <w:rFonts w:cs="Calibri"/>
                <w:sz w:val="23"/>
                <w:szCs w:val="23"/>
                <w:lang w:eastAsia="en-GB"/>
              </w:rPr>
              <w:t xml:space="preserve">, </w:t>
            </w:r>
            <w:proofErr w:type="spellStart"/>
            <w:r w:rsidRPr="00391013">
              <w:rPr>
                <w:rFonts w:cs="Calibri"/>
                <w:sz w:val="23"/>
                <w:szCs w:val="23"/>
                <w:lang w:eastAsia="en-GB"/>
              </w:rPr>
              <w:t>Turbohalers</w:t>
            </w:r>
            <w:proofErr w:type="spellEnd"/>
          </w:p>
        </w:tc>
      </w:tr>
      <w:tr w:rsidR="006302FA" w:rsidRPr="00391013" w14:paraId="5E965933" w14:textId="77777777" w:rsidTr="006302FA">
        <w:trPr>
          <w:cantSplit/>
        </w:trPr>
        <w:tc>
          <w:tcPr>
            <w:tcW w:w="826" w:type="pct"/>
            <w:vAlign w:val="center"/>
          </w:tcPr>
          <w:p w14:paraId="15DAEE85"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Creams, Ointments</w:t>
            </w:r>
          </w:p>
          <w:p w14:paraId="0AFD2907"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and Shampoos</w:t>
            </w:r>
          </w:p>
        </w:tc>
        <w:tc>
          <w:tcPr>
            <w:tcW w:w="2093" w:type="pct"/>
            <w:vAlign w:val="center"/>
          </w:tcPr>
          <w:p w14:paraId="2D1BBAAD"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Remove product from outer packaging and place in waste container</w:t>
            </w:r>
          </w:p>
        </w:tc>
        <w:tc>
          <w:tcPr>
            <w:tcW w:w="2081" w:type="pct"/>
            <w:vAlign w:val="center"/>
          </w:tcPr>
          <w:p w14:paraId="1BD53D1E" w14:textId="452BFDE9" w:rsidR="006302FA" w:rsidRPr="00391013" w:rsidRDefault="006302FA" w:rsidP="009477C3">
            <w:pPr>
              <w:spacing w:before="20" w:after="20"/>
              <w:rPr>
                <w:rFonts w:cs="Calibri"/>
                <w:sz w:val="23"/>
                <w:szCs w:val="23"/>
                <w:lang w:eastAsia="en-GB"/>
              </w:rPr>
            </w:pPr>
            <w:r w:rsidRPr="00391013">
              <w:rPr>
                <w:rFonts w:cs="Calibri"/>
                <w:sz w:val="23"/>
                <w:szCs w:val="23"/>
                <w:lang w:eastAsia="en-GB"/>
              </w:rPr>
              <w:t xml:space="preserve">May be either </w:t>
            </w:r>
            <w:r>
              <w:rPr>
                <w:rFonts w:cs="Calibri"/>
                <w:sz w:val="23"/>
                <w:szCs w:val="23"/>
                <w:lang w:eastAsia="en-GB"/>
              </w:rPr>
              <w:t>hazardous or non-hazardous</w:t>
            </w:r>
            <w:r w:rsidRPr="00391013">
              <w:rPr>
                <w:rFonts w:cs="Calibri"/>
                <w:sz w:val="23"/>
                <w:szCs w:val="23"/>
                <w:lang w:eastAsia="en-GB"/>
              </w:rPr>
              <w:t>.</w:t>
            </w:r>
          </w:p>
        </w:tc>
      </w:tr>
      <w:tr w:rsidR="006302FA" w:rsidRPr="00391013" w14:paraId="11B1B584" w14:textId="77777777" w:rsidTr="006302FA">
        <w:trPr>
          <w:cantSplit/>
        </w:trPr>
        <w:tc>
          <w:tcPr>
            <w:tcW w:w="826" w:type="pct"/>
            <w:vAlign w:val="center"/>
          </w:tcPr>
          <w:p w14:paraId="48E8E74C"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Eye, Ear and Nasal</w:t>
            </w:r>
          </w:p>
          <w:p w14:paraId="29FE2C6C"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drops and ointments</w:t>
            </w:r>
          </w:p>
        </w:tc>
        <w:tc>
          <w:tcPr>
            <w:tcW w:w="2093" w:type="pct"/>
            <w:vAlign w:val="center"/>
          </w:tcPr>
          <w:p w14:paraId="16FAEE99"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Remove product from outer packaging and place in waste container</w:t>
            </w:r>
          </w:p>
        </w:tc>
        <w:tc>
          <w:tcPr>
            <w:tcW w:w="2081" w:type="pct"/>
            <w:vAlign w:val="center"/>
          </w:tcPr>
          <w:p w14:paraId="1A463025" w14:textId="020CAF79" w:rsidR="006302FA" w:rsidRPr="00391013" w:rsidRDefault="006302FA" w:rsidP="009477C3">
            <w:pPr>
              <w:spacing w:before="20" w:after="20"/>
              <w:rPr>
                <w:rFonts w:cs="Calibri"/>
                <w:sz w:val="23"/>
                <w:szCs w:val="23"/>
                <w:lang w:eastAsia="en-GB"/>
              </w:rPr>
            </w:pPr>
            <w:r w:rsidRPr="00391013">
              <w:rPr>
                <w:rFonts w:cs="Calibri"/>
                <w:sz w:val="23"/>
                <w:szCs w:val="23"/>
                <w:lang w:eastAsia="en-GB"/>
              </w:rPr>
              <w:t xml:space="preserve">May be either </w:t>
            </w:r>
            <w:r>
              <w:rPr>
                <w:rFonts w:cs="Calibri"/>
                <w:sz w:val="23"/>
                <w:szCs w:val="23"/>
                <w:lang w:eastAsia="en-GB"/>
              </w:rPr>
              <w:t>hazardous or non-hazardous</w:t>
            </w:r>
            <w:r w:rsidRPr="00391013">
              <w:rPr>
                <w:rFonts w:cs="Calibri"/>
                <w:sz w:val="23"/>
                <w:szCs w:val="23"/>
                <w:lang w:eastAsia="en-GB"/>
              </w:rPr>
              <w:t>.</w:t>
            </w:r>
            <w:r>
              <w:rPr>
                <w:rFonts w:cs="Calibri"/>
                <w:sz w:val="23"/>
                <w:szCs w:val="23"/>
                <w:lang w:eastAsia="en-GB"/>
              </w:rPr>
              <w:t xml:space="preserve"> </w:t>
            </w:r>
            <w:r w:rsidRPr="00391013">
              <w:rPr>
                <w:rFonts w:cs="Calibri"/>
                <w:sz w:val="23"/>
                <w:szCs w:val="23"/>
                <w:lang w:eastAsia="en-GB"/>
              </w:rPr>
              <w:t>Note that Chloramphenicol preparations are on the “</w:t>
            </w:r>
            <w:r>
              <w:rPr>
                <w:rFonts w:cs="Calibri"/>
                <w:sz w:val="23"/>
                <w:szCs w:val="23"/>
                <w:lang w:eastAsia="en-GB"/>
              </w:rPr>
              <w:t>Hazardous</w:t>
            </w:r>
            <w:r w:rsidRPr="00391013">
              <w:rPr>
                <w:rFonts w:cs="Calibri"/>
                <w:sz w:val="23"/>
                <w:szCs w:val="23"/>
                <w:lang w:eastAsia="en-GB"/>
              </w:rPr>
              <w:t xml:space="preserve"> List”</w:t>
            </w:r>
          </w:p>
        </w:tc>
      </w:tr>
      <w:tr w:rsidR="006302FA" w:rsidRPr="00391013" w14:paraId="31EEB207" w14:textId="77777777" w:rsidTr="006302FA">
        <w:trPr>
          <w:cantSplit/>
        </w:trPr>
        <w:tc>
          <w:tcPr>
            <w:tcW w:w="826" w:type="pct"/>
            <w:vAlign w:val="center"/>
          </w:tcPr>
          <w:p w14:paraId="698D33A9"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Flammable Liquids</w:t>
            </w:r>
          </w:p>
        </w:tc>
        <w:tc>
          <w:tcPr>
            <w:tcW w:w="2093" w:type="pct"/>
            <w:vAlign w:val="center"/>
          </w:tcPr>
          <w:p w14:paraId="6903C8C3" w14:textId="4F97AECD" w:rsidR="006302FA" w:rsidRPr="00391013" w:rsidRDefault="006302FA" w:rsidP="009477C3">
            <w:pPr>
              <w:spacing w:before="20" w:after="20"/>
              <w:rPr>
                <w:rFonts w:cs="Calibri"/>
                <w:sz w:val="23"/>
                <w:szCs w:val="23"/>
                <w:lang w:eastAsia="en-GB"/>
              </w:rPr>
            </w:pPr>
            <w:r w:rsidRPr="00391013">
              <w:rPr>
                <w:rFonts w:cs="Calibri"/>
                <w:sz w:val="23"/>
                <w:szCs w:val="23"/>
                <w:lang w:eastAsia="en-GB"/>
              </w:rPr>
              <w:t xml:space="preserve">Small quantities of flammable liquids remaining in a bottle e.g. hand alcohol rubs may be placed in the waste container. </w:t>
            </w:r>
            <w:proofErr w:type="gramStart"/>
            <w:r w:rsidRPr="00391013">
              <w:rPr>
                <w:rFonts w:cs="Calibri"/>
                <w:sz w:val="23"/>
                <w:szCs w:val="23"/>
                <w:lang w:eastAsia="en-GB"/>
              </w:rPr>
              <w:t>Large quantities of flammable liquids,</w:t>
            </w:r>
            <w:proofErr w:type="gramEnd"/>
            <w:r w:rsidRPr="00391013">
              <w:rPr>
                <w:rFonts w:cs="Calibri"/>
                <w:sz w:val="23"/>
                <w:szCs w:val="23"/>
                <w:lang w:eastAsia="en-GB"/>
              </w:rPr>
              <w:t xml:space="preserve"> must not be placed in the waste container. A separate consignment will be required, arranged on an ad-hoc basis with the waste contractor.</w:t>
            </w:r>
          </w:p>
        </w:tc>
        <w:tc>
          <w:tcPr>
            <w:tcW w:w="2081" w:type="pct"/>
            <w:vAlign w:val="center"/>
          </w:tcPr>
          <w:p w14:paraId="5139D008"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Alcohol hand gels that do not contain siloxanes and whose safety data sheet does not prohibit discharge to the sewer may be rinsed out and the packaging recycled or placed into the municipal waste stream.</w:t>
            </w:r>
          </w:p>
        </w:tc>
      </w:tr>
      <w:tr w:rsidR="006302FA" w:rsidRPr="00391013" w14:paraId="1F020C6E" w14:textId="77777777" w:rsidTr="006302FA">
        <w:trPr>
          <w:cantSplit/>
        </w:trPr>
        <w:tc>
          <w:tcPr>
            <w:tcW w:w="826" w:type="pct"/>
            <w:vAlign w:val="center"/>
          </w:tcPr>
          <w:p w14:paraId="2D307855"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Inhaler devices (including aerosol devices)</w:t>
            </w:r>
          </w:p>
        </w:tc>
        <w:tc>
          <w:tcPr>
            <w:tcW w:w="2093" w:type="pct"/>
            <w:vAlign w:val="center"/>
          </w:tcPr>
          <w:p w14:paraId="37851ACA"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Remove product from inert packaging and place in waste container. Consign separately, if required, by the waste contractor</w:t>
            </w:r>
          </w:p>
        </w:tc>
        <w:tc>
          <w:tcPr>
            <w:tcW w:w="2081" w:type="pct"/>
            <w:vAlign w:val="center"/>
          </w:tcPr>
          <w:p w14:paraId="08617CEC"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 xml:space="preserve">Note that the canister itself can be pulled from the plastic part of metered dose inhalers. Do not dismantle other devices e.g.  </w:t>
            </w:r>
            <w:proofErr w:type="spellStart"/>
            <w:r w:rsidRPr="00391013">
              <w:rPr>
                <w:rFonts w:cs="Calibri"/>
                <w:sz w:val="23"/>
                <w:szCs w:val="23"/>
                <w:lang w:eastAsia="en-GB"/>
              </w:rPr>
              <w:t>Accuhalers</w:t>
            </w:r>
            <w:proofErr w:type="spellEnd"/>
            <w:r w:rsidRPr="00391013">
              <w:rPr>
                <w:rFonts w:cs="Calibri"/>
                <w:sz w:val="23"/>
                <w:szCs w:val="23"/>
                <w:lang w:eastAsia="en-GB"/>
              </w:rPr>
              <w:t xml:space="preserve">, </w:t>
            </w:r>
            <w:proofErr w:type="spellStart"/>
            <w:r w:rsidRPr="00391013">
              <w:rPr>
                <w:rFonts w:cs="Calibri"/>
                <w:sz w:val="23"/>
                <w:szCs w:val="23"/>
                <w:lang w:eastAsia="en-GB"/>
              </w:rPr>
              <w:t>Turbohalers</w:t>
            </w:r>
            <w:proofErr w:type="spellEnd"/>
          </w:p>
        </w:tc>
      </w:tr>
      <w:tr w:rsidR="006302FA" w:rsidRPr="00391013" w14:paraId="1F68EE10" w14:textId="77777777" w:rsidTr="006302FA">
        <w:trPr>
          <w:cantSplit/>
        </w:trPr>
        <w:tc>
          <w:tcPr>
            <w:tcW w:w="826" w:type="pct"/>
            <w:vAlign w:val="center"/>
          </w:tcPr>
          <w:p w14:paraId="2CA38F42"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Injections</w:t>
            </w:r>
          </w:p>
          <w:p w14:paraId="19BBB2C4"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Vials or Ampoules</w:t>
            </w:r>
          </w:p>
          <w:p w14:paraId="50C5D03C"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Broken/Part-used</w:t>
            </w:r>
          </w:p>
        </w:tc>
        <w:tc>
          <w:tcPr>
            <w:tcW w:w="2093" w:type="pct"/>
            <w:vAlign w:val="center"/>
          </w:tcPr>
          <w:p w14:paraId="4FD26F21"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Place in waste container designated for sharps contaminated with Pharmaceutical Waste.</w:t>
            </w:r>
          </w:p>
          <w:p w14:paraId="56FE1CF4"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The syringe must not be discharged.</w:t>
            </w:r>
          </w:p>
        </w:tc>
        <w:tc>
          <w:tcPr>
            <w:tcW w:w="2081" w:type="pct"/>
            <w:vAlign w:val="center"/>
          </w:tcPr>
          <w:p w14:paraId="6DA99FEB" w14:textId="3883B074" w:rsidR="006302FA" w:rsidRPr="00391013" w:rsidRDefault="006302FA" w:rsidP="009477C3">
            <w:pPr>
              <w:spacing w:before="20" w:after="20"/>
              <w:rPr>
                <w:rFonts w:cs="Calibri"/>
                <w:sz w:val="23"/>
                <w:szCs w:val="23"/>
                <w:lang w:eastAsia="en-GB"/>
              </w:rPr>
            </w:pPr>
            <w:r w:rsidRPr="00391013">
              <w:rPr>
                <w:rFonts w:cs="Calibri"/>
                <w:sz w:val="23"/>
                <w:szCs w:val="23"/>
                <w:lang w:eastAsia="en-GB"/>
              </w:rPr>
              <w:t xml:space="preserve">May be either </w:t>
            </w:r>
            <w:r>
              <w:rPr>
                <w:rFonts w:cs="Calibri"/>
                <w:sz w:val="23"/>
                <w:szCs w:val="23"/>
                <w:lang w:eastAsia="en-GB"/>
              </w:rPr>
              <w:t>Hazardous or non-hazardous</w:t>
            </w:r>
            <w:r w:rsidRPr="00391013">
              <w:rPr>
                <w:rFonts w:cs="Calibri"/>
                <w:sz w:val="23"/>
                <w:szCs w:val="23"/>
                <w:lang w:eastAsia="en-GB"/>
              </w:rPr>
              <w:t>.</w:t>
            </w:r>
          </w:p>
        </w:tc>
      </w:tr>
      <w:tr w:rsidR="006302FA" w:rsidRPr="00391013" w14:paraId="30264A75" w14:textId="77777777" w:rsidTr="006302FA">
        <w:trPr>
          <w:cantSplit/>
        </w:trPr>
        <w:tc>
          <w:tcPr>
            <w:tcW w:w="826" w:type="pct"/>
            <w:vAlign w:val="center"/>
          </w:tcPr>
          <w:p w14:paraId="1781A0AD"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Injections</w:t>
            </w:r>
          </w:p>
          <w:p w14:paraId="62FDBD8D"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Vials or Ampoules</w:t>
            </w:r>
          </w:p>
          <w:p w14:paraId="3B5DA69C"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Intact</w:t>
            </w:r>
          </w:p>
        </w:tc>
        <w:tc>
          <w:tcPr>
            <w:tcW w:w="2093" w:type="pct"/>
            <w:vAlign w:val="center"/>
          </w:tcPr>
          <w:p w14:paraId="12CD8717"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Remove product from outer packaging and place in waste container</w:t>
            </w:r>
          </w:p>
        </w:tc>
        <w:tc>
          <w:tcPr>
            <w:tcW w:w="2081" w:type="pct"/>
            <w:vAlign w:val="center"/>
          </w:tcPr>
          <w:p w14:paraId="71C43DB7" w14:textId="5BC63C86" w:rsidR="006302FA" w:rsidRPr="00391013" w:rsidRDefault="006302FA" w:rsidP="009477C3">
            <w:pPr>
              <w:spacing w:before="20" w:after="20"/>
              <w:rPr>
                <w:rFonts w:cs="Calibri"/>
                <w:sz w:val="23"/>
                <w:szCs w:val="23"/>
                <w:lang w:eastAsia="en-GB"/>
              </w:rPr>
            </w:pPr>
            <w:r w:rsidRPr="00391013">
              <w:rPr>
                <w:rFonts w:cs="Calibri"/>
                <w:sz w:val="23"/>
                <w:szCs w:val="23"/>
                <w:lang w:eastAsia="en-GB"/>
              </w:rPr>
              <w:t xml:space="preserve">May be either </w:t>
            </w:r>
            <w:r>
              <w:rPr>
                <w:rFonts w:cs="Calibri"/>
                <w:sz w:val="23"/>
                <w:szCs w:val="23"/>
                <w:lang w:eastAsia="en-GB"/>
              </w:rPr>
              <w:t>Hazardous or non-hazardous</w:t>
            </w:r>
            <w:r w:rsidRPr="00391013">
              <w:rPr>
                <w:rFonts w:cs="Calibri"/>
                <w:sz w:val="23"/>
                <w:szCs w:val="23"/>
                <w:lang w:eastAsia="en-GB"/>
              </w:rPr>
              <w:t>.</w:t>
            </w:r>
          </w:p>
          <w:p w14:paraId="108096CF"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Note that vials or ampoules which are not broken are not considered sharps</w:t>
            </w:r>
          </w:p>
        </w:tc>
      </w:tr>
      <w:tr w:rsidR="006302FA" w:rsidRPr="00391013" w14:paraId="40EE9E77" w14:textId="77777777" w:rsidTr="006302FA">
        <w:trPr>
          <w:cantSplit/>
        </w:trPr>
        <w:tc>
          <w:tcPr>
            <w:tcW w:w="826" w:type="pct"/>
            <w:vAlign w:val="center"/>
          </w:tcPr>
          <w:p w14:paraId="48033A61"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Injections</w:t>
            </w:r>
          </w:p>
          <w:p w14:paraId="3EE366D7"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Prepared, but not administered</w:t>
            </w:r>
          </w:p>
        </w:tc>
        <w:tc>
          <w:tcPr>
            <w:tcW w:w="2093" w:type="pct"/>
            <w:vAlign w:val="center"/>
          </w:tcPr>
          <w:p w14:paraId="34ED2A83"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Place in waste container designated for sharps contaminated with Pharmaceutical Waste. The syringe must not be discharged.</w:t>
            </w:r>
          </w:p>
        </w:tc>
        <w:tc>
          <w:tcPr>
            <w:tcW w:w="2081" w:type="pct"/>
            <w:vAlign w:val="center"/>
          </w:tcPr>
          <w:p w14:paraId="0984A65B" w14:textId="09C62AAD" w:rsidR="006302FA" w:rsidRPr="00391013" w:rsidRDefault="006302FA" w:rsidP="009477C3">
            <w:pPr>
              <w:spacing w:before="20" w:after="20"/>
              <w:rPr>
                <w:rFonts w:cs="Calibri"/>
                <w:sz w:val="23"/>
                <w:szCs w:val="23"/>
                <w:lang w:eastAsia="en-GB"/>
              </w:rPr>
            </w:pPr>
            <w:r w:rsidRPr="00391013">
              <w:rPr>
                <w:rFonts w:cs="Calibri"/>
                <w:sz w:val="23"/>
                <w:szCs w:val="23"/>
                <w:lang w:eastAsia="en-GB"/>
              </w:rPr>
              <w:t xml:space="preserve">May be either </w:t>
            </w:r>
            <w:r>
              <w:rPr>
                <w:rFonts w:cs="Calibri"/>
                <w:sz w:val="23"/>
                <w:szCs w:val="23"/>
                <w:lang w:eastAsia="en-GB"/>
              </w:rPr>
              <w:t>Hazardous or non-hazardous</w:t>
            </w:r>
            <w:r w:rsidRPr="00391013">
              <w:rPr>
                <w:rFonts w:cs="Calibri"/>
                <w:sz w:val="23"/>
                <w:szCs w:val="23"/>
                <w:lang w:eastAsia="en-GB"/>
              </w:rPr>
              <w:t>.</w:t>
            </w:r>
          </w:p>
        </w:tc>
      </w:tr>
      <w:tr w:rsidR="006302FA" w:rsidRPr="00391013" w14:paraId="70E1B86A" w14:textId="77777777" w:rsidTr="006302FA">
        <w:trPr>
          <w:cantSplit/>
        </w:trPr>
        <w:tc>
          <w:tcPr>
            <w:tcW w:w="826" w:type="pct"/>
            <w:vAlign w:val="center"/>
          </w:tcPr>
          <w:p w14:paraId="1D4217EB"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lastRenderedPageBreak/>
              <w:t>Injections</w:t>
            </w:r>
          </w:p>
          <w:p w14:paraId="0B9C604D"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Pre-filled syringes with needle</w:t>
            </w:r>
          </w:p>
        </w:tc>
        <w:tc>
          <w:tcPr>
            <w:tcW w:w="2093" w:type="pct"/>
            <w:vAlign w:val="center"/>
          </w:tcPr>
          <w:p w14:paraId="092719DB"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Place in waste container designated for sharps contaminated with Pharmaceutical Waste. The syringe must not be discharged.</w:t>
            </w:r>
          </w:p>
        </w:tc>
        <w:tc>
          <w:tcPr>
            <w:tcW w:w="2081" w:type="pct"/>
            <w:vAlign w:val="center"/>
          </w:tcPr>
          <w:p w14:paraId="3C179CA8" w14:textId="77777777" w:rsidR="006302FA" w:rsidRPr="00391013" w:rsidRDefault="006302FA" w:rsidP="009477C3">
            <w:pPr>
              <w:spacing w:before="20" w:after="20"/>
              <w:rPr>
                <w:rFonts w:cs="Calibri"/>
                <w:sz w:val="23"/>
                <w:szCs w:val="23"/>
                <w:lang w:eastAsia="en-GB"/>
              </w:rPr>
            </w:pPr>
          </w:p>
        </w:tc>
      </w:tr>
      <w:tr w:rsidR="006302FA" w:rsidRPr="00391013" w14:paraId="490D3B74" w14:textId="77777777" w:rsidTr="006302FA">
        <w:trPr>
          <w:cantSplit/>
        </w:trPr>
        <w:tc>
          <w:tcPr>
            <w:tcW w:w="826" w:type="pct"/>
            <w:vAlign w:val="center"/>
          </w:tcPr>
          <w:p w14:paraId="1E6C9D1E"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Liquids - External</w:t>
            </w:r>
          </w:p>
          <w:p w14:paraId="47D43CDF"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Include inhalations</w:t>
            </w:r>
          </w:p>
        </w:tc>
        <w:tc>
          <w:tcPr>
            <w:tcW w:w="2093" w:type="pct"/>
            <w:vAlign w:val="center"/>
          </w:tcPr>
          <w:p w14:paraId="343020F6"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The liquid should remain in the bottle and the bottle itself should be placed in the waste container. Under no circumstance should a liquid be poured directly into the waste container.</w:t>
            </w:r>
          </w:p>
        </w:tc>
        <w:tc>
          <w:tcPr>
            <w:tcW w:w="2081" w:type="pct"/>
            <w:vAlign w:val="center"/>
          </w:tcPr>
          <w:p w14:paraId="356D5110" w14:textId="056305D8" w:rsidR="006302FA" w:rsidRPr="00391013" w:rsidRDefault="006302FA" w:rsidP="009477C3">
            <w:pPr>
              <w:spacing w:before="20" w:after="20"/>
              <w:rPr>
                <w:rFonts w:cs="Calibri"/>
                <w:sz w:val="23"/>
                <w:szCs w:val="23"/>
                <w:lang w:eastAsia="en-GB"/>
              </w:rPr>
            </w:pPr>
            <w:r w:rsidRPr="00391013">
              <w:rPr>
                <w:rFonts w:cs="Calibri"/>
                <w:sz w:val="23"/>
                <w:szCs w:val="23"/>
                <w:lang w:eastAsia="en-GB"/>
              </w:rPr>
              <w:t xml:space="preserve">May be either </w:t>
            </w:r>
            <w:r>
              <w:rPr>
                <w:rFonts w:cs="Calibri"/>
                <w:sz w:val="23"/>
                <w:szCs w:val="23"/>
                <w:lang w:eastAsia="en-GB"/>
              </w:rPr>
              <w:t>Hazardous or non-hazardous</w:t>
            </w:r>
            <w:r w:rsidRPr="00391013">
              <w:rPr>
                <w:rFonts w:cs="Calibri"/>
                <w:sz w:val="23"/>
                <w:szCs w:val="23"/>
                <w:lang w:eastAsia="en-GB"/>
              </w:rPr>
              <w:t>.</w:t>
            </w:r>
          </w:p>
          <w:p w14:paraId="3DCBA888"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Check that the lid is secure.</w:t>
            </w:r>
          </w:p>
        </w:tc>
      </w:tr>
      <w:tr w:rsidR="006302FA" w:rsidRPr="00391013" w14:paraId="27E8E293" w14:textId="77777777" w:rsidTr="006302FA">
        <w:trPr>
          <w:cantSplit/>
        </w:trPr>
        <w:tc>
          <w:tcPr>
            <w:tcW w:w="826" w:type="pct"/>
            <w:vAlign w:val="center"/>
          </w:tcPr>
          <w:p w14:paraId="1BAEA703"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Liquids - Oral</w:t>
            </w:r>
          </w:p>
          <w:p w14:paraId="1649D7B6"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Contained in bottle</w:t>
            </w:r>
          </w:p>
        </w:tc>
        <w:tc>
          <w:tcPr>
            <w:tcW w:w="2093" w:type="pct"/>
            <w:vAlign w:val="center"/>
          </w:tcPr>
          <w:p w14:paraId="29E52EBF"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The liquid should remain in the bottle and the bottle itself should be placed in the waste container. Under no circumstance should a liquid be poured directly into the waste container. Controlled drugs will require denaturing before disposal.</w:t>
            </w:r>
          </w:p>
        </w:tc>
        <w:tc>
          <w:tcPr>
            <w:tcW w:w="2081" w:type="pct"/>
            <w:vAlign w:val="center"/>
          </w:tcPr>
          <w:p w14:paraId="583F0FC1" w14:textId="39F3C1B1" w:rsidR="006302FA" w:rsidRPr="00391013" w:rsidRDefault="006302FA" w:rsidP="009477C3">
            <w:pPr>
              <w:spacing w:before="20" w:after="20"/>
              <w:rPr>
                <w:rFonts w:cs="Calibri"/>
                <w:sz w:val="23"/>
                <w:szCs w:val="23"/>
                <w:lang w:eastAsia="en-GB"/>
              </w:rPr>
            </w:pPr>
            <w:r w:rsidRPr="00391013">
              <w:rPr>
                <w:rFonts w:cs="Calibri"/>
                <w:sz w:val="23"/>
                <w:szCs w:val="23"/>
                <w:lang w:eastAsia="en-GB"/>
              </w:rPr>
              <w:t xml:space="preserve">May be either </w:t>
            </w:r>
            <w:r>
              <w:rPr>
                <w:rFonts w:cs="Calibri"/>
                <w:sz w:val="23"/>
                <w:szCs w:val="23"/>
                <w:lang w:eastAsia="en-GB"/>
              </w:rPr>
              <w:t>Hazardous or non-hazardous</w:t>
            </w:r>
            <w:r w:rsidRPr="00391013">
              <w:rPr>
                <w:rFonts w:cs="Calibri"/>
                <w:sz w:val="23"/>
                <w:szCs w:val="23"/>
                <w:lang w:eastAsia="en-GB"/>
              </w:rPr>
              <w:t>.</w:t>
            </w:r>
          </w:p>
          <w:p w14:paraId="064C4C10"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Note that an oral syringe is not classed as a sharp. A leak proof container or one with absorbent gel should be used</w:t>
            </w:r>
          </w:p>
          <w:p w14:paraId="380EB956"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Check that the lid is secure.</w:t>
            </w:r>
          </w:p>
        </w:tc>
      </w:tr>
      <w:tr w:rsidR="006302FA" w:rsidRPr="00391013" w14:paraId="57FA3F76" w14:textId="77777777" w:rsidTr="006302FA">
        <w:trPr>
          <w:cantSplit/>
        </w:trPr>
        <w:tc>
          <w:tcPr>
            <w:tcW w:w="826" w:type="pct"/>
            <w:vAlign w:val="center"/>
          </w:tcPr>
          <w:p w14:paraId="2C48DC13"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Liquids - Oral Prepared but not administered</w:t>
            </w:r>
          </w:p>
        </w:tc>
        <w:tc>
          <w:tcPr>
            <w:tcW w:w="2093" w:type="pct"/>
            <w:vAlign w:val="center"/>
          </w:tcPr>
          <w:p w14:paraId="022F8100"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Small quantities may be disposed of by washing into the foul sewer</w:t>
            </w:r>
          </w:p>
        </w:tc>
        <w:tc>
          <w:tcPr>
            <w:tcW w:w="2081" w:type="pct"/>
            <w:vAlign w:val="center"/>
          </w:tcPr>
          <w:p w14:paraId="73748409" w14:textId="77777777" w:rsidR="006302FA" w:rsidRPr="00391013" w:rsidRDefault="006302FA" w:rsidP="009477C3">
            <w:pPr>
              <w:spacing w:before="20" w:after="20"/>
              <w:rPr>
                <w:rFonts w:cs="Calibri"/>
                <w:sz w:val="23"/>
                <w:szCs w:val="23"/>
                <w:lang w:eastAsia="en-GB"/>
              </w:rPr>
            </w:pPr>
          </w:p>
        </w:tc>
      </w:tr>
      <w:tr w:rsidR="006302FA" w:rsidRPr="00391013" w14:paraId="0CCC69F0" w14:textId="77777777" w:rsidTr="006302FA">
        <w:trPr>
          <w:cantSplit/>
        </w:trPr>
        <w:tc>
          <w:tcPr>
            <w:tcW w:w="826" w:type="pct"/>
            <w:vAlign w:val="center"/>
          </w:tcPr>
          <w:p w14:paraId="36617BE4"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Empty medicines bottles</w:t>
            </w:r>
          </w:p>
        </w:tc>
        <w:tc>
          <w:tcPr>
            <w:tcW w:w="2093" w:type="pct"/>
            <w:vAlign w:val="center"/>
          </w:tcPr>
          <w:p w14:paraId="54DAB47E"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Should be treated as pharmaceuticals as they may contain residues.  Bottles should not be rinsed and must not be disposed of into glass recycling.  Entire bottle should be placed in the waste container.</w:t>
            </w:r>
          </w:p>
        </w:tc>
        <w:tc>
          <w:tcPr>
            <w:tcW w:w="2081" w:type="pct"/>
            <w:vAlign w:val="center"/>
          </w:tcPr>
          <w:p w14:paraId="654B175E" w14:textId="45A7DDF0" w:rsidR="006302FA" w:rsidRPr="00391013" w:rsidRDefault="006302FA" w:rsidP="009477C3">
            <w:pPr>
              <w:spacing w:before="20" w:after="20"/>
              <w:rPr>
                <w:rFonts w:cs="Calibri"/>
                <w:sz w:val="23"/>
                <w:szCs w:val="23"/>
                <w:lang w:eastAsia="en-GB"/>
              </w:rPr>
            </w:pPr>
            <w:r w:rsidRPr="00391013">
              <w:rPr>
                <w:rFonts w:cs="Calibri"/>
                <w:sz w:val="23"/>
                <w:szCs w:val="23"/>
                <w:lang w:eastAsia="en-GB"/>
              </w:rPr>
              <w:t xml:space="preserve">May be either </w:t>
            </w:r>
            <w:r>
              <w:rPr>
                <w:rFonts w:cs="Calibri"/>
                <w:sz w:val="23"/>
                <w:szCs w:val="23"/>
                <w:lang w:eastAsia="en-GB"/>
              </w:rPr>
              <w:t>Hazardous or non-hazardous</w:t>
            </w:r>
            <w:r w:rsidRPr="00391013">
              <w:rPr>
                <w:rFonts w:cs="Calibri"/>
                <w:sz w:val="23"/>
                <w:szCs w:val="23"/>
                <w:lang w:eastAsia="en-GB"/>
              </w:rPr>
              <w:t>.</w:t>
            </w:r>
          </w:p>
        </w:tc>
      </w:tr>
      <w:tr w:rsidR="006302FA" w:rsidRPr="00391013" w14:paraId="0CE4C5A6" w14:textId="77777777" w:rsidTr="006302FA">
        <w:trPr>
          <w:cantSplit/>
        </w:trPr>
        <w:tc>
          <w:tcPr>
            <w:tcW w:w="826" w:type="pct"/>
            <w:vAlign w:val="center"/>
          </w:tcPr>
          <w:p w14:paraId="1908C82C"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Nebules</w:t>
            </w:r>
          </w:p>
        </w:tc>
        <w:tc>
          <w:tcPr>
            <w:tcW w:w="2093" w:type="pct"/>
            <w:vAlign w:val="center"/>
          </w:tcPr>
          <w:p w14:paraId="00F40B5E"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Treat as injection ampoules (intact)</w:t>
            </w:r>
          </w:p>
        </w:tc>
        <w:tc>
          <w:tcPr>
            <w:tcW w:w="2081" w:type="pct"/>
            <w:vAlign w:val="center"/>
          </w:tcPr>
          <w:p w14:paraId="2D64BE49" w14:textId="77777777" w:rsidR="006302FA" w:rsidRPr="00391013" w:rsidRDefault="006302FA" w:rsidP="009477C3">
            <w:pPr>
              <w:spacing w:before="20" w:after="20"/>
              <w:rPr>
                <w:rFonts w:cs="Calibri"/>
                <w:sz w:val="23"/>
                <w:szCs w:val="23"/>
                <w:lang w:eastAsia="en-GB"/>
              </w:rPr>
            </w:pPr>
          </w:p>
        </w:tc>
      </w:tr>
      <w:tr w:rsidR="006302FA" w:rsidRPr="00391013" w14:paraId="16DFC73C" w14:textId="77777777" w:rsidTr="006302FA">
        <w:trPr>
          <w:cantSplit/>
        </w:trPr>
        <w:tc>
          <w:tcPr>
            <w:tcW w:w="826" w:type="pct"/>
            <w:vAlign w:val="center"/>
          </w:tcPr>
          <w:p w14:paraId="3F7F2917"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Patches removed from a patient</w:t>
            </w:r>
          </w:p>
        </w:tc>
        <w:tc>
          <w:tcPr>
            <w:tcW w:w="2093" w:type="pct"/>
            <w:vAlign w:val="center"/>
          </w:tcPr>
          <w:p w14:paraId="0C5826E5"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 xml:space="preserve">Fold the patch over on itself so that the inactive ingredient is rendered irretrievable. Then place in the waste container. </w:t>
            </w:r>
            <w:r w:rsidRPr="006302FA">
              <w:rPr>
                <w:rFonts w:cs="Calibri"/>
                <w:i/>
                <w:iCs/>
                <w:sz w:val="23"/>
                <w:szCs w:val="23"/>
                <w:lang w:eastAsia="en-GB"/>
              </w:rPr>
              <w:t>(Patches containing controlled drugs will need destroying with an ‘Authorised Witness’)</w:t>
            </w:r>
            <w:r w:rsidRPr="00391013">
              <w:rPr>
                <w:rFonts w:cs="Calibri"/>
                <w:sz w:val="23"/>
                <w:szCs w:val="23"/>
                <w:lang w:eastAsia="en-GB"/>
              </w:rPr>
              <w:t xml:space="preserve"> </w:t>
            </w:r>
          </w:p>
        </w:tc>
        <w:tc>
          <w:tcPr>
            <w:tcW w:w="2081" w:type="pct"/>
            <w:vAlign w:val="center"/>
          </w:tcPr>
          <w:p w14:paraId="2CD8DE95" w14:textId="77777777" w:rsidR="006302FA" w:rsidRPr="00391013" w:rsidRDefault="006302FA" w:rsidP="009477C3">
            <w:pPr>
              <w:spacing w:before="20" w:after="20"/>
              <w:rPr>
                <w:rFonts w:cs="Calibri"/>
                <w:sz w:val="23"/>
                <w:szCs w:val="23"/>
                <w:lang w:eastAsia="en-GB"/>
              </w:rPr>
            </w:pPr>
          </w:p>
        </w:tc>
      </w:tr>
      <w:tr w:rsidR="006302FA" w:rsidRPr="00391013" w14:paraId="2F8A1F70" w14:textId="77777777" w:rsidTr="006302FA">
        <w:trPr>
          <w:cantSplit/>
        </w:trPr>
        <w:tc>
          <w:tcPr>
            <w:tcW w:w="826" w:type="pct"/>
            <w:vAlign w:val="center"/>
          </w:tcPr>
          <w:p w14:paraId="21EAF8C1"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Patches remaining in sealed pouch</w:t>
            </w:r>
          </w:p>
        </w:tc>
        <w:tc>
          <w:tcPr>
            <w:tcW w:w="2093" w:type="pct"/>
            <w:vAlign w:val="center"/>
          </w:tcPr>
          <w:p w14:paraId="4E55C12E"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 xml:space="preserve">Place unopened patches in the waste container. </w:t>
            </w:r>
          </w:p>
        </w:tc>
        <w:tc>
          <w:tcPr>
            <w:tcW w:w="2081" w:type="pct"/>
            <w:vAlign w:val="center"/>
          </w:tcPr>
          <w:p w14:paraId="4AE0DCF9"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 xml:space="preserve">This advice is different to the disposal of unused patches containing a Controlled Drug. Unused controlled drug patches should be folded over on itself so that the patch is irretrievable). </w:t>
            </w:r>
          </w:p>
        </w:tc>
      </w:tr>
      <w:tr w:rsidR="006302FA" w:rsidRPr="00391013" w14:paraId="372FB9C3" w14:textId="77777777" w:rsidTr="006302FA">
        <w:trPr>
          <w:cantSplit/>
        </w:trPr>
        <w:tc>
          <w:tcPr>
            <w:tcW w:w="826" w:type="pct"/>
            <w:vAlign w:val="center"/>
          </w:tcPr>
          <w:p w14:paraId="60E4E380"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Powders in tins/ sachets</w:t>
            </w:r>
          </w:p>
        </w:tc>
        <w:tc>
          <w:tcPr>
            <w:tcW w:w="2093" w:type="pct"/>
            <w:vAlign w:val="center"/>
          </w:tcPr>
          <w:p w14:paraId="47F8A135"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 xml:space="preserve">Place in waste container. Sachets should not be opened. Tins which may be </w:t>
            </w:r>
            <w:proofErr w:type="spellStart"/>
            <w:r w:rsidRPr="00391013">
              <w:rPr>
                <w:rFonts w:cs="Calibri"/>
                <w:sz w:val="23"/>
                <w:szCs w:val="23"/>
                <w:lang w:eastAsia="en-GB"/>
              </w:rPr>
              <w:t>full</w:t>
            </w:r>
            <w:proofErr w:type="spellEnd"/>
            <w:r w:rsidRPr="00391013">
              <w:rPr>
                <w:rFonts w:cs="Calibri"/>
                <w:sz w:val="23"/>
                <w:szCs w:val="23"/>
                <w:lang w:eastAsia="en-GB"/>
              </w:rPr>
              <w:t xml:space="preserve"> or partially full, should be placed in the waste container unopened.</w:t>
            </w:r>
          </w:p>
        </w:tc>
        <w:tc>
          <w:tcPr>
            <w:tcW w:w="2081" w:type="pct"/>
            <w:vAlign w:val="center"/>
          </w:tcPr>
          <w:p w14:paraId="284D43D3"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Includes prescribable dietary supplements and food thickeners.</w:t>
            </w:r>
          </w:p>
        </w:tc>
      </w:tr>
      <w:tr w:rsidR="006302FA" w:rsidRPr="00391013" w14:paraId="12CBC9DD" w14:textId="77777777" w:rsidTr="006302FA">
        <w:trPr>
          <w:cantSplit/>
        </w:trPr>
        <w:tc>
          <w:tcPr>
            <w:tcW w:w="826" w:type="pct"/>
            <w:vAlign w:val="center"/>
          </w:tcPr>
          <w:p w14:paraId="3CF64BF3"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lastRenderedPageBreak/>
              <w:t>Rectal preparations</w:t>
            </w:r>
          </w:p>
          <w:p w14:paraId="4FCC8883"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e.g. suppositories</w:t>
            </w:r>
          </w:p>
        </w:tc>
        <w:tc>
          <w:tcPr>
            <w:tcW w:w="2093" w:type="pct"/>
            <w:vAlign w:val="center"/>
          </w:tcPr>
          <w:p w14:paraId="749DDE42"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Remove product from outer packaging and place in waste container</w:t>
            </w:r>
          </w:p>
        </w:tc>
        <w:tc>
          <w:tcPr>
            <w:tcW w:w="2081" w:type="pct"/>
            <w:vAlign w:val="center"/>
          </w:tcPr>
          <w:p w14:paraId="67646D8E" w14:textId="77777777" w:rsidR="006302FA" w:rsidRPr="00391013" w:rsidRDefault="006302FA" w:rsidP="009477C3">
            <w:pPr>
              <w:spacing w:before="20" w:after="20"/>
              <w:rPr>
                <w:rFonts w:cs="Calibri"/>
                <w:sz w:val="23"/>
                <w:szCs w:val="23"/>
                <w:lang w:eastAsia="en-GB"/>
              </w:rPr>
            </w:pPr>
          </w:p>
        </w:tc>
      </w:tr>
      <w:tr w:rsidR="006302FA" w:rsidRPr="00391013" w14:paraId="0236AADA" w14:textId="77777777" w:rsidTr="006302FA">
        <w:trPr>
          <w:cantSplit/>
        </w:trPr>
        <w:tc>
          <w:tcPr>
            <w:tcW w:w="826" w:type="pct"/>
            <w:vAlign w:val="center"/>
          </w:tcPr>
          <w:p w14:paraId="2F0BDEA1"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Sprays e.g. Nasal sprays</w:t>
            </w:r>
          </w:p>
        </w:tc>
        <w:tc>
          <w:tcPr>
            <w:tcW w:w="2093" w:type="pct"/>
            <w:vAlign w:val="center"/>
          </w:tcPr>
          <w:p w14:paraId="75689AEE"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Remove product from outer packaging and place in waste container</w:t>
            </w:r>
          </w:p>
        </w:tc>
        <w:tc>
          <w:tcPr>
            <w:tcW w:w="2081" w:type="pct"/>
            <w:vAlign w:val="center"/>
          </w:tcPr>
          <w:p w14:paraId="490C9180" w14:textId="77777777" w:rsidR="006302FA" w:rsidRPr="00391013" w:rsidRDefault="006302FA" w:rsidP="009477C3">
            <w:pPr>
              <w:spacing w:before="20" w:after="20"/>
              <w:rPr>
                <w:rFonts w:cs="Calibri"/>
                <w:sz w:val="23"/>
                <w:szCs w:val="23"/>
                <w:lang w:eastAsia="en-GB"/>
              </w:rPr>
            </w:pPr>
          </w:p>
        </w:tc>
      </w:tr>
      <w:tr w:rsidR="006302FA" w:rsidRPr="00391013" w14:paraId="080BAEDE" w14:textId="77777777" w:rsidTr="006302FA">
        <w:trPr>
          <w:cantSplit/>
        </w:trPr>
        <w:tc>
          <w:tcPr>
            <w:tcW w:w="826" w:type="pct"/>
            <w:vAlign w:val="center"/>
          </w:tcPr>
          <w:p w14:paraId="06452E63"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Tablets/Capsules in</w:t>
            </w:r>
          </w:p>
          <w:p w14:paraId="2711407E"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Blister strips*</w:t>
            </w:r>
          </w:p>
        </w:tc>
        <w:tc>
          <w:tcPr>
            <w:tcW w:w="2093" w:type="pct"/>
            <w:vAlign w:val="center"/>
          </w:tcPr>
          <w:p w14:paraId="5BE3F8E8"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Remove the blister strip(s) from outer packaging and place in the waste container</w:t>
            </w:r>
          </w:p>
        </w:tc>
        <w:tc>
          <w:tcPr>
            <w:tcW w:w="2081" w:type="pct"/>
            <w:vAlign w:val="center"/>
          </w:tcPr>
          <w:p w14:paraId="53D0B063" w14:textId="77777777" w:rsidR="006302FA" w:rsidRPr="00391013" w:rsidRDefault="006302FA" w:rsidP="009477C3">
            <w:pPr>
              <w:spacing w:before="20" w:after="20"/>
              <w:rPr>
                <w:rFonts w:cs="Calibri"/>
                <w:sz w:val="23"/>
                <w:szCs w:val="23"/>
                <w:lang w:eastAsia="en-GB"/>
              </w:rPr>
            </w:pPr>
            <w:r w:rsidRPr="00391013">
              <w:rPr>
                <w:rFonts w:cs="Calibri"/>
                <w:b/>
                <w:sz w:val="23"/>
                <w:szCs w:val="23"/>
                <w:lang w:eastAsia="en-GB"/>
              </w:rPr>
              <w:t>DO NOT</w:t>
            </w:r>
            <w:r w:rsidRPr="00391013">
              <w:rPr>
                <w:rFonts w:cs="Calibri"/>
                <w:sz w:val="23"/>
                <w:szCs w:val="23"/>
                <w:lang w:eastAsia="en-GB"/>
              </w:rPr>
              <w:t xml:space="preserve"> pop the tablets or capsules out of the blister packaging.</w:t>
            </w:r>
          </w:p>
        </w:tc>
      </w:tr>
      <w:tr w:rsidR="006302FA" w:rsidRPr="00391013" w14:paraId="1DC8B6EA" w14:textId="77777777" w:rsidTr="006302FA">
        <w:trPr>
          <w:cantSplit/>
        </w:trPr>
        <w:tc>
          <w:tcPr>
            <w:tcW w:w="826" w:type="pct"/>
            <w:vAlign w:val="center"/>
          </w:tcPr>
          <w:p w14:paraId="43403983"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Tablets/Capsules</w:t>
            </w:r>
          </w:p>
          <w:p w14:paraId="11EB3FA4"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loose in a bottle</w:t>
            </w:r>
          </w:p>
        </w:tc>
        <w:tc>
          <w:tcPr>
            <w:tcW w:w="2093" w:type="pct"/>
            <w:vAlign w:val="center"/>
          </w:tcPr>
          <w:p w14:paraId="08F54362"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The tablets/capsules must remain in the tablet bottle and the bottle itself should be placed in the waste container.</w:t>
            </w:r>
          </w:p>
        </w:tc>
        <w:tc>
          <w:tcPr>
            <w:tcW w:w="2081" w:type="pct"/>
            <w:vAlign w:val="center"/>
          </w:tcPr>
          <w:p w14:paraId="4426C10C" w14:textId="77777777" w:rsidR="006302FA" w:rsidRPr="00391013" w:rsidRDefault="006302FA" w:rsidP="009477C3">
            <w:pPr>
              <w:spacing w:before="20" w:after="20"/>
              <w:rPr>
                <w:rFonts w:cs="Calibri"/>
                <w:sz w:val="23"/>
                <w:szCs w:val="23"/>
                <w:lang w:eastAsia="en-GB"/>
              </w:rPr>
            </w:pPr>
          </w:p>
        </w:tc>
      </w:tr>
      <w:tr w:rsidR="006302FA" w:rsidRPr="00391013" w14:paraId="409B37D2" w14:textId="77777777" w:rsidTr="006302FA">
        <w:trPr>
          <w:cantSplit/>
        </w:trPr>
        <w:tc>
          <w:tcPr>
            <w:tcW w:w="826" w:type="pct"/>
            <w:vAlign w:val="center"/>
          </w:tcPr>
          <w:p w14:paraId="381DE269"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Tablets / Capsules in a Monitored Dosage System</w:t>
            </w:r>
          </w:p>
        </w:tc>
        <w:tc>
          <w:tcPr>
            <w:tcW w:w="2093" w:type="pct"/>
            <w:vAlign w:val="center"/>
          </w:tcPr>
          <w:p w14:paraId="6D83A0D8"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Disposable packaging containing the unwanted medicines must be removed from any reusable equipment and placed in the waste container intact.</w:t>
            </w:r>
          </w:p>
        </w:tc>
        <w:tc>
          <w:tcPr>
            <w:tcW w:w="2081" w:type="pct"/>
            <w:vAlign w:val="center"/>
          </w:tcPr>
          <w:p w14:paraId="6DBE8257" w14:textId="3F8E3024" w:rsidR="006302FA" w:rsidRPr="00391013" w:rsidRDefault="006302FA" w:rsidP="009477C3">
            <w:pPr>
              <w:spacing w:before="20" w:after="20"/>
              <w:rPr>
                <w:rFonts w:cs="Calibri"/>
                <w:sz w:val="23"/>
                <w:szCs w:val="23"/>
                <w:lang w:eastAsia="en-GB"/>
              </w:rPr>
            </w:pPr>
            <w:r w:rsidRPr="00391013">
              <w:rPr>
                <w:rFonts w:cs="Calibri"/>
                <w:sz w:val="23"/>
                <w:szCs w:val="23"/>
                <w:lang w:eastAsia="en-GB"/>
              </w:rPr>
              <w:t xml:space="preserve">Reusable equipment can be returned to the pharmacy that dispensed the system. Such systems provided by Community Pharmacies list the medication included. If any of these is assessed to be </w:t>
            </w:r>
            <w:r>
              <w:rPr>
                <w:rFonts w:cs="Calibri"/>
                <w:sz w:val="23"/>
                <w:szCs w:val="23"/>
                <w:lang w:eastAsia="en-GB"/>
              </w:rPr>
              <w:t>Hazardous</w:t>
            </w:r>
            <w:r w:rsidRPr="00391013">
              <w:rPr>
                <w:rFonts w:cs="Calibri"/>
                <w:sz w:val="23"/>
                <w:szCs w:val="23"/>
                <w:lang w:eastAsia="en-GB"/>
              </w:rPr>
              <w:t xml:space="preserve">, the whole assortment must be consigned as </w:t>
            </w:r>
            <w:r>
              <w:rPr>
                <w:rFonts w:cs="Calibri"/>
                <w:sz w:val="23"/>
                <w:szCs w:val="23"/>
                <w:lang w:eastAsia="en-GB"/>
              </w:rPr>
              <w:t>hazardous</w:t>
            </w:r>
            <w:r w:rsidRPr="00391013">
              <w:rPr>
                <w:rFonts w:cs="Calibri"/>
                <w:sz w:val="23"/>
                <w:szCs w:val="23"/>
                <w:lang w:eastAsia="en-GB"/>
              </w:rPr>
              <w:t xml:space="preserve"> waste. If none are assessed to be </w:t>
            </w:r>
            <w:r>
              <w:rPr>
                <w:rFonts w:cs="Calibri"/>
                <w:sz w:val="23"/>
                <w:szCs w:val="23"/>
                <w:lang w:eastAsia="en-GB"/>
              </w:rPr>
              <w:t>Hazardous</w:t>
            </w:r>
            <w:r w:rsidRPr="00391013">
              <w:rPr>
                <w:rFonts w:cs="Calibri"/>
                <w:sz w:val="23"/>
                <w:szCs w:val="23"/>
                <w:lang w:eastAsia="en-GB"/>
              </w:rPr>
              <w:t xml:space="preserve">, the whole assortment must be consigned as </w:t>
            </w:r>
            <w:r>
              <w:rPr>
                <w:rFonts w:cs="Calibri"/>
                <w:sz w:val="23"/>
                <w:szCs w:val="23"/>
                <w:lang w:eastAsia="en-GB"/>
              </w:rPr>
              <w:t>Non-hazardous</w:t>
            </w:r>
            <w:r w:rsidRPr="00391013">
              <w:rPr>
                <w:rFonts w:cs="Calibri"/>
                <w:sz w:val="23"/>
                <w:szCs w:val="23"/>
                <w:lang w:eastAsia="en-GB"/>
              </w:rPr>
              <w:t xml:space="preserve"> waste.</w:t>
            </w:r>
          </w:p>
        </w:tc>
      </w:tr>
      <w:tr w:rsidR="006302FA" w:rsidRPr="00391013" w14:paraId="7F84A8DB" w14:textId="77777777" w:rsidTr="006302FA">
        <w:trPr>
          <w:cantSplit/>
        </w:trPr>
        <w:tc>
          <w:tcPr>
            <w:tcW w:w="826" w:type="pct"/>
            <w:vAlign w:val="center"/>
          </w:tcPr>
          <w:p w14:paraId="1DB942A4"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Tablets/Capsules in a personal compliance box</w:t>
            </w:r>
          </w:p>
        </w:tc>
        <w:tc>
          <w:tcPr>
            <w:tcW w:w="2093" w:type="pct"/>
            <w:vAlign w:val="center"/>
          </w:tcPr>
          <w:p w14:paraId="673E4EC4" w14:textId="5817E806" w:rsidR="006302FA" w:rsidRPr="00391013" w:rsidRDefault="006302FA" w:rsidP="009477C3">
            <w:pPr>
              <w:spacing w:before="20" w:after="20"/>
              <w:rPr>
                <w:rFonts w:cs="Calibri"/>
                <w:sz w:val="23"/>
                <w:szCs w:val="23"/>
                <w:lang w:eastAsia="en-GB"/>
              </w:rPr>
            </w:pPr>
            <w:r w:rsidRPr="00391013">
              <w:rPr>
                <w:rFonts w:cs="Calibri"/>
                <w:sz w:val="23"/>
                <w:szCs w:val="23"/>
                <w:lang w:eastAsia="en-GB"/>
              </w:rPr>
              <w:t xml:space="preserve">For compliance boxes without inner disposable packaging there is no alternative but to empty the contents directly into a waste container. There is a duty of care to try to determine whether the compartments contain </w:t>
            </w:r>
            <w:r>
              <w:rPr>
                <w:rFonts w:cs="Calibri"/>
                <w:sz w:val="23"/>
                <w:szCs w:val="23"/>
                <w:lang w:eastAsia="en-GB"/>
              </w:rPr>
              <w:t>hazardous or non-hazardous</w:t>
            </w:r>
            <w:r w:rsidRPr="00391013">
              <w:rPr>
                <w:rFonts w:cs="Calibri"/>
                <w:sz w:val="23"/>
                <w:szCs w:val="23"/>
                <w:lang w:eastAsia="en-GB"/>
              </w:rPr>
              <w:t xml:space="preserve"> waste. It could be argued that the risk to an individual in segregating medicines in this way is too great, and in such a case, segregation would not be required. However, if cytotoxic or cytostatic medicines are not separated, then the whole assortment must be consigned as </w:t>
            </w:r>
            <w:r>
              <w:rPr>
                <w:rFonts w:cs="Calibri"/>
                <w:sz w:val="23"/>
                <w:szCs w:val="23"/>
                <w:lang w:eastAsia="en-GB"/>
              </w:rPr>
              <w:t>hazardous</w:t>
            </w:r>
            <w:r w:rsidRPr="00391013">
              <w:rPr>
                <w:rFonts w:cs="Calibri"/>
                <w:sz w:val="23"/>
                <w:szCs w:val="23"/>
                <w:lang w:eastAsia="en-GB"/>
              </w:rPr>
              <w:t xml:space="preserve"> waste.</w:t>
            </w:r>
          </w:p>
        </w:tc>
        <w:tc>
          <w:tcPr>
            <w:tcW w:w="2081" w:type="pct"/>
            <w:vAlign w:val="center"/>
          </w:tcPr>
          <w:p w14:paraId="5C609017" w14:textId="77777777" w:rsidR="006302FA" w:rsidRPr="00391013" w:rsidRDefault="006302FA" w:rsidP="009477C3">
            <w:pPr>
              <w:spacing w:before="20" w:after="20"/>
              <w:rPr>
                <w:rFonts w:cs="Calibri"/>
                <w:sz w:val="23"/>
                <w:szCs w:val="23"/>
                <w:lang w:eastAsia="en-GB"/>
              </w:rPr>
            </w:pPr>
          </w:p>
        </w:tc>
      </w:tr>
      <w:tr w:rsidR="006302FA" w:rsidRPr="00391013" w14:paraId="23FC9A9A" w14:textId="77777777" w:rsidTr="006302FA">
        <w:trPr>
          <w:cantSplit/>
        </w:trPr>
        <w:tc>
          <w:tcPr>
            <w:tcW w:w="826" w:type="pct"/>
            <w:vAlign w:val="center"/>
          </w:tcPr>
          <w:p w14:paraId="1F4EC5FB"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Tablets/Capsules</w:t>
            </w:r>
          </w:p>
          <w:p w14:paraId="2C0E01BB"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Prepared but not</w:t>
            </w:r>
          </w:p>
          <w:p w14:paraId="30652AB7"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Administered</w:t>
            </w:r>
          </w:p>
        </w:tc>
        <w:tc>
          <w:tcPr>
            <w:tcW w:w="2093" w:type="pct"/>
            <w:vAlign w:val="center"/>
          </w:tcPr>
          <w:p w14:paraId="342488C5"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 xml:space="preserve">Place in Pharmaceutical Waste Container, however, if “contaminated” e.g. </w:t>
            </w:r>
            <w:proofErr w:type="gramStart"/>
            <w:r w:rsidRPr="00391013">
              <w:rPr>
                <w:rFonts w:cs="Calibri"/>
                <w:sz w:val="23"/>
                <w:szCs w:val="23"/>
                <w:lang w:eastAsia="en-GB"/>
              </w:rPr>
              <w:t>as a consequence of</w:t>
            </w:r>
            <w:proofErr w:type="gramEnd"/>
            <w:r w:rsidRPr="00391013">
              <w:rPr>
                <w:rFonts w:cs="Calibri"/>
                <w:sz w:val="23"/>
                <w:szCs w:val="23"/>
                <w:lang w:eastAsia="en-GB"/>
              </w:rPr>
              <w:t xml:space="preserve"> a patient spitting out, then place in the container for sharps contaminated with Pharmaceuticals, which is consigned as potentially infectious.</w:t>
            </w:r>
          </w:p>
        </w:tc>
        <w:tc>
          <w:tcPr>
            <w:tcW w:w="2081" w:type="pct"/>
            <w:vAlign w:val="center"/>
          </w:tcPr>
          <w:p w14:paraId="789FC2AF" w14:textId="77777777" w:rsidR="006302FA" w:rsidRPr="00391013" w:rsidRDefault="006302FA" w:rsidP="009477C3">
            <w:pPr>
              <w:spacing w:before="20" w:after="20"/>
              <w:rPr>
                <w:rFonts w:cs="Calibri"/>
                <w:sz w:val="23"/>
                <w:szCs w:val="23"/>
                <w:lang w:eastAsia="en-GB"/>
              </w:rPr>
            </w:pPr>
          </w:p>
        </w:tc>
      </w:tr>
      <w:tr w:rsidR="006302FA" w:rsidRPr="00391013" w14:paraId="0289C976" w14:textId="77777777" w:rsidTr="006302FA">
        <w:trPr>
          <w:cantSplit/>
        </w:trPr>
        <w:tc>
          <w:tcPr>
            <w:tcW w:w="826" w:type="pct"/>
            <w:vAlign w:val="center"/>
          </w:tcPr>
          <w:p w14:paraId="2CC3D67F"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Unidentifiable medication – any form</w:t>
            </w:r>
          </w:p>
        </w:tc>
        <w:tc>
          <w:tcPr>
            <w:tcW w:w="2093" w:type="pct"/>
            <w:vAlign w:val="center"/>
          </w:tcPr>
          <w:p w14:paraId="700883BA" w14:textId="107D1F6C" w:rsidR="006302FA" w:rsidRPr="00391013" w:rsidRDefault="006302FA" w:rsidP="009477C3">
            <w:pPr>
              <w:spacing w:before="20" w:after="20"/>
              <w:rPr>
                <w:rFonts w:cs="Calibri"/>
                <w:sz w:val="23"/>
                <w:szCs w:val="23"/>
                <w:lang w:eastAsia="en-GB"/>
              </w:rPr>
            </w:pPr>
            <w:r w:rsidRPr="00391013">
              <w:rPr>
                <w:rFonts w:cs="Calibri"/>
                <w:sz w:val="23"/>
                <w:szCs w:val="23"/>
                <w:lang w:eastAsia="en-GB"/>
              </w:rPr>
              <w:t xml:space="preserve">The whole assortment must be placed in a </w:t>
            </w:r>
            <w:r>
              <w:rPr>
                <w:rFonts w:cs="Calibri"/>
                <w:sz w:val="23"/>
                <w:szCs w:val="23"/>
                <w:lang w:eastAsia="en-GB"/>
              </w:rPr>
              <w:t>Hazardous</w:t>
            </w:r>
            <w:r w:rsidRPr="00391013">
              <w:rPr>
                <w:rFonts w:cs="Calibri"/>
                <w:sz w:val="23"/>
                <w:szCs w:val="23"/>
                <w:lang w:eastAsia="en-GB"/>
              </w:rPr>
              <w:t xml:space="preserve"> waste container.</w:t>
            </w:r>
          </w:p>
        </w:tc>
        <w:tc>
          <w:tcPr>
            <w:tcW w:w="2081" w:type="pct"/>
            <w:vAlign w:val="center"/>
          </w:tcPr>
          <w:p w14:paraId="11B25C40" w14:textId="77777777" w:rsidR="006302FA" w:rsidRPr="00391013" w:rsidRDefault="006302FA" w:rsidP="009477C3">
            <w:pPr>
              <w:spacing w:before="20" w:after="20"/>
              <w:rPr>
                <w:rFonts w:cs="Calibri"/>
                <w:sz w:val="23"/>
                <w:szCs w:val="23"/>
                <w:lang w:eastAsia="en-GB"/>
              </w:rPr>
            </w:pPr>
          </w:p>
        </w:tc>
      </w:tr>
      <w:tr w:rsidR="006302FA" w:rsidRPr="00391013" w14:paraId="37C50A3F" w14:textId="77777777" w:rsidTr="006302FA">
        <w:trPr>
          <w:cantSplit/>
        </w:trPr>
        <w:tc>
          <w:tcPr>
            <w:tcW w:w="826" w:type="pct"/>
            <w:vAlign w:val="center"/>
          </w:tcPr>
          <w:p w14:paraId="7B026EE8"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Vaginal preparations</w:t>
            </w:r>
          </w:p>
          <w:p w14:paraId="2765BF95"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e.g. pessaries</w:t>
            </w:r>
          </w:p>
        </w:tc>
        <w:tc>
          <w:tcPr>
            <w:tcW w:w="2093" w:type="pct"/>
            <w:vAlign w:val="center"/>
          </w:tcPr>
          <w:p w14:paraId="057386EE" w14:textId="77777777" w:rsidR="006302FA" w:rsidRPr="00391013" w:rsidRDefault="006302FA" w:rsidP="009477C3">
            <w:pPr>
              <w:spacing w:before="20" w:after="20"/>
              <w:rPr>
                <w:rFonts w:cs="Calibri"/>
                <w:sz w:val="23"/>
                <w:szCs w:val="23"/>
                <w:lang w:eastAsia="en-GB"/>
              </w:rPr>
            </w:pPr>
            <w:r w:rsidRPr="00391013">
              <w:rPr>
                <w:rFonts w:cs="Calibri"/>
                <w:sz w:val="23"/>
                <w:szCs w:val="23"/>
                <w:lang w:eastAsia="en-GB"/>
              </w:rPr>
              <w:t>Remove product from outer packaging and place in waste container</w:t>
            </w:r>
          </w:p>
        </w:tc>
        <w:tc>
          <w:tcPr>
            <w:tcW w:w="2081" w:type="pct"/>
            <w:vAlign w:val="center"/>
          </w:tcPr>
          <w:p w14:paraId="3C0C1D19" w14:textId="3C0A56A7" w:rsidR="006302FA" w:rsidRPr="00391013" w:rsidRDefault="006302FA" w:rsidP="009477C3">
            <w:pPr>
              <w:spacing w:before="20" w:after="20"/>
              <w:rPr>
                <w:rFonts w:cs="Calibri"/>
                <w:sz w:val="23"/>
                <w:szCs w:val="23"/>
                <w:lang w:eastAsia="en-GB"/>
              </w:rPr>
            </w:pPr>
            <w:r w:rsidRPr="00391013">
              <w:rPr>
                <w:rFonts w:cs="Calibri"/>
                <w:sz w:val="23"/>
                <w:szCs w:val="23"/>
                <w:lang w:eastAsia="en-GB"/>
              </w:rPr>
              <w:t xml:space="preserve">May be either </w:t>
            </w:r>
            <w:r>
              <w:rPr>
                <w:rFonts w:cs="Calibri"/>
                <w:sz w:val="23"/>
                <w:szCs w:val="23"/>
                <w:lang w:eastAsia="en-GB"/>
              </w:rPr>
              <w:t>hazardous or non-hazardous</w:t>
            </w:r>
            <w:r w:rsidRPr="00391013">
              <w:rPr>
                <w:rFonts w:cs="Calibri"/>
                <w:sz w:val="23"/>
                <w:szCs w:val="23"/>
                <w:lang w:eastAsia="en-GB"/>
              </w:rPr>
              <w:t>.</w:t>
            </w:r>
          </w:p>
        </w:tc>
      </w:tr>
    </w:tbl>
    <w:p w14:paraId="1D26D547" w14:textId="77777777" w:rsidR="006302FA" w:rsidRPr="00587FAF" w:rsidRDefault="006302FA" w:rsidP="006302FA">
      <w:pPr>
        <w:rPr>
          <w:rFonts w:cs="Calibri"/>
          <w:szCs w:val="24"/>
        </w:rPr>
      </w:pPr>
    </w:p>
    <w:p w14:paraId="75D0B5B8" w14:textId="77777777" w:rsidR="006302FA" w:rsidRPr="00587FAF" w:rsidRDefault="006302FA" w:rsidP="006302FA">
      <w:pPr>
        <w:rPr>
          <w:rFonts w:cs="Calibri"/>
          <w:szCs w:val="24"/>
        </w:rPr>
      </w:pPr>
    </w:p>
    <w:p w14:paraId="3395D5D2" w14:textId="77777777" w:rsidR="00C9306A" w:rsidRDefault="00C9306A"/>
    <w:sectPr w:rsidR="00C9306A" w:rsidSect="006302FA">
      <w:pgSz w:w="16838" w:h="11906" w:orient="landscape"/>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FA"/>
    <w:rsid w:val="001167A8"/>
    <w:rsid w:val="006020CA"/>
    <w:rsid w:val="006302FA"/>
    <w:rsid w:val="00761B38"/>
    <w:rsid w:val="00A6266A"/>
    <w:rsid w:val="00C9306A"/>
    <w:rsid w:val="00E53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88FD"/>
  <w15:chartTrackingRefBased/>
  <w15:docId w15:val="{4662CA52-0AEC-472A-86B4-9E403248B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FA"/>
    <w:pPr>
      <w:spacing w:after="0" w:line="240" w:lineRule="auto"/>
    </w:pPr>
    <w:rPr>
      <w:rFonts w:ascii="Calibri" w:eastAsia="Calibri" w:hAnsi="Calibri" w:cs="Times New Roman"/>
      <w:kern w:val="0"/>
      <w:sz w:val="24"/>
      <w14:ligatures w14:val="none"/>
    </w:rPr>
  </w:style>
  <w:style w:type="paragraph" w:styleId="Heading1">
    <w:name w:val="heading 1"/>
    <w:basedOn w:val="Normal"/>
    <w:next w:val="Normal"/>
    <w:link w:val="Heading1Char"/>
    <w:qFormat/>
    <w:rsid w:val="006302F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02F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02F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02F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6302F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6302FA"/>
    <w:pPr>
      <w:keepNext/>
      <w:keepLines/>
      <w:spacing w:before="4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6302FA"/>
    <w:pPr>
      <w:keepNext/>
      <w:keepLines/>
      <w:spacing w:before="4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6302FA"/>
    <w:pPr>
      <w:keepNext/>
      <w:keepLines/>
      <w:spacing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6302FA"/>
    <w:pPr>
      <w:keepNext/>
      <w:keepLines/>
      <w:spacing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02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02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02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2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2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2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2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2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2FA"/>
    <w:rPr>
      <w:rFonts w:eastAsiaTheme="majorEastAsia" w:cstheme="majorBidi"/>
      <w:color w:val="272727" w:themeColor="text1" w:themeTint="D8"/>
    </w:rPr>
  </w:style>
  <w:style w:type="paragraph" w:styleId="Title">
    <w:name w:val="Title"/>
    <w:basedOn w:val="Normal"/>
    <w:next w:val="Normal"/>
    <w:link w:val="TitleChar"/>
    <w:uiPriority w:val="10"/>
    <w:qFormat/>
    <w:rsid w:val="006302F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0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2F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02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2FA"/>
    <w:pPr>
      <w:spacing w:before="160" w:after="160" w:line="259" w:lineRule="auto"/>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6302FA"/>
    <w:rPr>
      <w:i/>
      <w:iCs/>
      <w:color w:val="404040" w:themeColor="text1" w:themeTint="BF"/>
    </w:rPr>
  </w:style>
  <w:style w:type="paragraph" w:styleId="ListParagraph">
    <w:name w:val="List Paragraph"/>
    <w:basedOn w:val="Normal"/>
    <w:uiPriority w:val="34"/>
    <w:qFormat/>
    <w:rsid w:val="006302FA"/>
    <w:pPr>
      <w:spacing w:after="160" w:line="259" w:lineRule="auto"/>
      <w:ind w:left="720"/>
      <w:contextualSpacing/>
    </w:pPr>
    <w:rPr>
      <w:rFonts w:asciiTheme="minorHAnsi" w:eastAsiaTheme="minorHAnsi" w:hAnsiTheme="minorHAnsi" w:cstheme="minorBidi"/>
      <w:kern w:val="2"/>
      <w:sz w:val="22"/>
      <w14:ligatures w14:val="standardContextual"/>
    </w:rPr>
  </w:style>
  <w:style w:type="character" w:styleId="IntenseEmphasis">
    <w:name w:val="Intense Emphasis"/>
    <w:basedOn w:val="DefaultParagraphFont"/>
    <w:uiPriority w:val="21"/>
    <w:qFormat/>
    <w:rsid w:val="006302FA"/>
    <w:rPr>
      <w:i/>
      <w:iCs/>
      <w:color w:val="0F4761" w:themeColor="accent1" w:themeShade="BF"/>
    </w:rPr>
  </w:style>
  <w:style w:type="paragraph" w:styleId="IntenseQuote">
    <w:name w:val="Intense Quote"/>
    <w:basedOn w:val="Normal"/>
    <w:next w:val="Normal"/>
    <w:link w:val="IntenseQuoteChar"/>
    <w:uiPriority w:val="30"/>
    <w:qFormat/>
    <w:rsid w:val="006302F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6302FA"/>
    <w:rPr>
      <w:i/>
      <w:iCs/>
      <w:color w:val="0F4761" w:themeColor="accent1" w:themeShade="BF"/>
    </w:rPr>
  </w:style>
  <w:style w:type="character" w:styleId="IntenseReference">
    <w:name w:val="Intense Reference"/>
    <w:basedOn w:val="DefaultParagraphFont"/>
    <w:uiPriority w:val="32"/>
    <w:qFormat/>
    <w:rsid w:val="006302FA"/>
    <w:rPr>
      <w:b/>
      <w:bCs/>
      <w:smallCaps/>
      <w:color w:val="0F4761" w:themeColor="accent1" w:themeShade="BF"/>
      <w:spacing w:val="5"/>
    </w:rPr>
  </w:style>
  <w:style w:type="character" w:styleId="Hyperlink">
    <w:name w:val="Hyperlink"/>
    <w:uiPriority w:val="99"/>
    <w:rsid w:val="006302FA"/>
    <w:rPr>
      <w:color w:val="0000FF"/>
      <w:u w:val="single"/>
    </w:rPr>
  </w:style>
  <w:style w:type="paragraph" w:customStyle="1" w:styleId="PolicyParagraph2">
    <w:name w:val="Policy Paragraph 2"/>
    <w:basedOn w:val="Normal"/>
    <w:autoRedefine/>
    <w:rsid w:val="006302FA"/>
    <w:pPr>
      <w:spacing w:after="240"/>
      <w:ind w:left="691" w:hanging="691"/>
      <w:jc w:val="both"/>
    </w:pPr>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5850</Characters>
  <Application>Microsoft Office Word</Application>
  <DocSecurity>0</DocSecurity>
  <Lines>48</Lines>
  <Paragraphs>13</Paragraphs>
  <ScaleCrop>false</ScaleCrop>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Braid, Hayley (NHS Dorset)</dc:creator>
  <cp:keywords/>
  <dc:description/>
  <cp:lastModifiedBy>Braid, Hayley (NHS Dorset)</cp:lastModifiedBy>
  <cp:revision>2</cp:revision>
  <dcterms:created xsi:type="dcterms:W3CDTF">2026-05-08T13:10:00Z</dcterms:created>
  <dcterms:modified xsi:type="dcterms:W3CDTF">2026-05-08T13:10:00Z</dcterms:modified>
</cp:coreProperties>
</file>