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E9CA" w14:textId="32C348CB" w:rsidR="00601883" w:rsidRDefault="000767C8" w:rsidP="1C3BD57B">
      <w:pPr>
        <w:jc w:val="center"/>
        <w:rPr>
          <w:b/>
          <w:sz w:val="24"/>
          <w:szCs w:val="24"/>
        </w:rPr>
      </w:pPr>
      <w:r w:rsidRPr="1C3BD57B">
        <w:rPr>
          <w:b/>
          <w:sz w:val="24"/>
          <w:szCs w:val="24"/>
        </w:rPr>
        <w:t>Direct Oral Anticoagulant (DOAC) Audit</w:t>
      </w:r>
    </w:p>
    <w:p w14:paraId="08CC73E2" w14:textId="7B3929DC" w:rsidR="00E25272" w:rsidRPr="00E25272" w:rsidRDefault="00E25272">
      <w:pPr>
        <w:rPr>
          <w:sz w:val="18"/>
          <w:szCs w:val="18"/>
        </w:rPr>
      </w:pPr>
      <w:r w:rsidRPr="00E25272">
        <w:rPr>
          <w:sz w:val="18"/>
          <w:szCs w:val="18"/>
        </w:rPr>
        <w:t>Eloise Cruickshank, Trainee Pharmacist</w:t>
      </w:r>
      <w:r w:rsidR="00116F2B">
        <w:rPr>
          <w:sz w:val="18"/>
          <w:szCs w:val="18"/>
        </w:rPr>
        <w:t>, University Hospital Dorset</w:t>
      </w:r>
    </w:p>
    <w:p w14:paraId="5C287273" w14:textId="515B2F1D" w:rsidR="00D35454" w:rsidRPr="009964E4" w:rsidRDefault="000767C8">
      <w:pPr>
        <w:rPr>
          <w:b/>
          <w:sz w:val="24"/>
          <w:szCs w:val="24"/>
        </w:rPr>
      </w:pPr>
      <w:r w:rsidRPr="1C3BD57B">
        <w:rPr>
          <w:b/>
          <w:sz w:val="24"/>
          <w:szCs w:val="24"/>
        </w:rPr>
        <w:t xml:space="preserve">Introduction </w:t>
      </w:r>
    </w:p>
    <w:p w14:paraId="74B3D42C" w14:textId="5AD0A497" w:rsidR="009964E4" w:rsidRPr="00E01A77" w:rsidRDefault="00C900C8" w:rsidP="009964E4">
      <w:r>
        <w:t xml:space="preserve">Direct Oral Anticoagulant (DOACs) </w:t>
      </w:r>
      <w:r w:rsidR="001E7529">
        <w:t>are approved for a variety of uses related to anticoagulation. DOACs increase the risk of bleeding and can cause serious, potentially fatal bleeds.</w:t>
      </w:r>
      <w:r w:rsidR="00116F2B" w:rsidRPr="6FA68E7D">
        <w:rPr>
          <w:vertAlign w:val="superscript"/>
        </w:rPr>
        <w:t>[1]</w:t>
      </w:r>
      <w:r w:rsidR="001E7529" w:rsidRPr="6FA68E7D">
        <w:rPr>
          <w:vertAlign w:val="superscript"/>
        </w:rPr>
        <w:t xml:space="preserve"> </w:t>
      </w:r>
      <w:r w:rsidR="001E7529">
        <w:t xml:space="preserve">DOACs should be used with caution in patients with increased bleeding risk such as older people, patients with low body weight or renal impairment. </w:t>
      </w:r>
      <w:r w:rsidR="00062832">
        <w:t xml:space="preserve">The dosing of DOACs is dependent on indication and patient factors including weight, </w:t>
      </w:r>
      <w:r w:rsidR="009964E4">
        <w:t>age,</w:t>
      </w:r>
      <w:r w:rsidR="00062832">
        <w:t xml:space="preserve"> and renal function. </w:t>
      </w:r>
      <w:r w:rsidR="009964E4">
        <w:t>Exposure to DOACs is increased in patients with renal impairment. Using estimated glomerular filtration rate (eGFR) to determine doses can overestimate renal function and increase the risk of bleeding.</w:t>
      </w:r>
      <w:r w:rsidR="009964E4" w:rsidRPr="6FA68E7D">
        <w:rPr>
          <w:vertAlign w:val="superscript"/>
        </w:rPr>
        <w:t>[1]</w:t>
      </w:r>
      <w:r w:rsidR="00820AAE" w:rsidRPr="6FA68E7D">
        <w:rPr>
          <w:vertAlign w:val="superscript"/>
        </w:rPr>
        <w:t xml:space="preserve"> </w:t>
      </w:r>
      <w:r w:rsidR="00E01A77">
        <w:t xml:space="preserve">While </w:t>
      </w:r>
      <w:r w:rsidR="00820AAE">
        <w:t xml:space="preserve">DOAC therapy is beneficial in </w:t>
      </w:r>
      <w:r w:rsidR="00992BCD">
        <w:t xml:space="preserve">prophylaxis </w:t>
      </w:r>
      <w:r w:rsidR="00820AAE">
        <w:t>of stroke and</w:t>
      </w:r>
      <w:r w:rsidR="00992BCD">
        <w:t xml:space="preserve"> systemic </w:t>
      </w:r>
      <w:r w:rsidR="00820AAE">
        <w:t xml:space="preserve">embolism as </w:t>
      </w:r>
      <w:r w:rsidR="00992BCD">
        <w:t>well as in the treatment</w:t>
      </w:r>
      <w:r w:rsidR="00E01A77">
        <w:t xml:space="preserve">, patients are at an increased risk of bleeding or clot formation with inaccurate dosing. </w:t>
      </w:r>
      <w:r w:rsidR="00992BCD">
        <w:t xml:space="preserve"> </w:t>
      </w:r>
    </w:p>
    <w:p w14:paraId="1CCB73C3" w14:textId="67C342DD" w:rsidR="00E01A77" w:rsidRDefault="00E01A77" w:rsidP="00E01A77">
      <w:r>
        <w:t>A small audit of DOAC dosing was conducted in two GP practices during 2017-2018; this audit identified a sample of patients who were on an incorrect dose, in reference to their renal function, age and weight. The remit of the audit was expanded in 2019 to cover 82 practices within Dorset which identified that dosing is often incorrect and that there is a lack of appropriate monitoring in patients taking DOAC’s.</w:t>
      </w:r>
      <w:r w:rsidR="00116F2B" w:rsidRPr="6FA68E7D">
        <w:rPr>
          <w:vertAlign w:val="superscript"/>
        </w:rPr>
        <w:t>[2]</w:t>
      </w:r>
    </w:p>
    <w:p w14:paraId="573459E0" w14:textId="1EC42C7F" w:rsidR="008C594A" w:rsidRPr="002D2683" w:rsidRDefault="008C04ED">
      <w:r>
        <w:t>The objective of this audit was to ensure that patients on DOAC’s in primary care are appropriately monitored and are on an appropriate dose for their indication</w:t>
      </w:r>
      <w:r w:rsidR="00E01A77">
        <w:t xml:space="preserve">, weight, renal function, and age. </w:t>
      </w:r>
      <w:r w:rsidR="008C4026">
        <w:t xml:space="preserve">All practices within </w:t>
      </w:r>
      <w:r w:rsidR="001B1CAC">
        <w:t>Dorset were asked to audit all patients taking DOAC’s (Apixaban, Dabigatran, Edoxaban, and Rivaroxaban) for Atrial Fibrillation, Deep Vein Thrombosis, Pulmonary Embolism, and any other indications</w:t>
      </w:r>
      <w:r w:rsidR="00DF30CD">
        <w:t>, to ensure they were on the appropriate dose</w:t>
      </w:r>
      <w:r w:rsidR="00116F2B">
        <w:t>s</w:t>
      </w:r>
      <w:r w:rsidR="00DF30CD">
        <w:t xml:space="preserve"> and all prescriptions had a documented indication</w:t>
      </w:r>
      <w:r w:rsidR="001B1CAC">
        <w:t xml:space="preserve">. </w:t>
      </w:r>
    </w:p>
    <w:p w14:paraId="0A87C48D" w14:textId="29EA4800" w:rsidR="54F8EA4A" w:rsidRDefault="54F8EA4A" w:rsidP="54F8EA4A">
      <w:pPr>
        <w:rPr>
          <w:b/>
          <w:bCs/>
          <w:sz w:val="24"/>
          <w:szCs w:val="24"/>
        </w:rPr>
      </w:pPr>
    </w:p>
    <w:p w14:paraId="5D2E438E" w14:textId="5DD620F1" w:rsidR="000767C8" w:rsidRDefault="000767C8" w:rsidP="54F8EA4A">
      <w:pPr>
        <w:rPr>
          <w:b/>
          <w:bCs/>
          <w:sz w:val="24"/>
          <w:szCs w:val="24"/>
        </w:rPr>
      </w:pPr>
      <w:r w:rsidRPr="54F8EA4A">
        <w:rPr>
          <w:b/>
          <w:bCs/>
          <w:sz w:val="24"/>
          <w:szCs w:val="24"/>
        </w:rPr>
        <w:t>Audit Standards</w:t>
      </w:r>
    </w:p>
    <w:p w14:paraId="409E3E6D" w14:textId="77777777" w:rsidR="008C594A" w:rsidRDefault="008C594A" w:rsidP="54F8EA4A">
      <w:pPr>
        <w:spacing w:after="0" w:line="240" w:lineRule="auto"/>
      </w:pPr>
      <w:r>
        <w:t>A – 100% of patients prescribed a DOAC should have had appropriate monitoring of their renal function.</w:t>
      </w:r>
    </w:p>
    <w:p w14:paraId="54A24B8E" w14:textId="77777777" w:rsidR="008C594A" w:rsidRDefault="008C594A" w:rsidP="54F8EA4A">
      <w:pPr>
        <w:spacing w:after="0" w:line="240" w:lineRule="auto"/>
      </w:pPr>
      <w:r>
        <w:t>B – 100% of patients prescribed a DOAC should have an appropriate dose given their indication, age, weight, and renal function.</w:t>
      </w:r>
    </w:p>
    <w:p w14:paraId="5EC03793" w14:textId="777D4D14" w:rsidR="008C594A" w:rsidRDefault="008C594A" w:rsidP="54F8EA4A">
      <w:pPr>
        <w:pStyle w:val="paragraph"/>
        <w:spacing w:before="0" w:beforeAutospacing="0" w:after="0" w:afterAutospacing="0"/>
        <w:rPr>
          <w:rStyle w:val="eop"/>
          <w:rFonts w:ascii="Calibri" w:hAnsi="Calibri" w:cs="Calibri"/>
          <w:sz w:val="22"/>
          <w:szCs w:val="22"/>
        </w:rPr>
      </w:pPr>
      <w:r w:rsidRPr="54F8EA4A">
        <w:rPr>
          <w:rStyle w:val="normaltextrun"/>
          <w:rFonts w:ascii="Calibri" w:hAnsi="Calibri" w:cs="Calibri"/>
          <w:sz w:val="22"/>
          <w:szCs w:val="22"/>
        </w:rPr>
        <w:t>C – 0% of patients prescribed a DOAC should have a dose which is too high for their indication, age, weight, and renal function</w:t>
      </w:r>
      <w:r w:rsidRPr="54F8EA4A">
        <w:rPr>
          <w:rStyle w:val="eop"/>
          <w:rFonts w:ascii="Calibri" w:hAnsi="Calibri" w:cs="Calibri"/>
          <w:sz w:val="22"/>
          <w:szCs w:val="22"/>
        </w:rPr>
        <w:t> </w:t>
      </w:r>
    </w:p>
    <w:p w14:paraId="15EE47C8" w14:textId="16312C4D" w:rsidR="008C594A" w:rsidRDefault="008C594A" w:rsidP="54F8EA4A">
      <w:pPr>
        <w:pStyle w:val="paragraph"/>
        <w:spacing w:before="0" w:beforeAutospacing="0" w:after="0" w:afterAutospacing="0"/>
        <w:rPr>
          <w:rFonts w:ascii="Segoe UI" w:hAnsi="Segoe UI" w:cs="Segoe UI"/>
          <w:sz w:val="18"/>
          <w:szCs w:val="18"/>
        </w:rPr>
      </w:pPr>
      <w:r w:rsidRPr="54F8EA4A">
        <w:rPr>
          <w:rStyle w:val="normaltextrun"/>
          <w:rFonts w:ascii="Calibri" w:hAnsi="Calibri" w:cs="Calibri"/>
          <w:sz w:val="22"/>
          <w:szCs w:val="22"/>
        </w:rPr>
        <w:t>D – 0% of patients prescribed a DOAC should have a dose which is too low for their indication, age, weight, and renal function</w:t>
      </w:r>
      <w:r w:rsidRPr="54F8EA4A">
        <w:rPr>
          <w:rStyle w:val="eop"/>
          <w:rFonts w:ascii="Calibri" w:hAnsi="Calibri" w:cs="Calibri"/>
          <w:sz w:val="22"/>
          <w:szCs w:val="22"/>
        </w:rPr>
        <w:t> </w:t>
      </w:r>
    </w:p>
    <w:p w14:paraId="47D6AB2E" w14:textId="04336BBF" w:rsidR="54F8EA4A" w:rsidRDefault="54F8EA4A" w:rsidP="54F8EA4A">
      <w:pPr>
        <w:rPr>
          <w:b/>
          <w:bCs/>
          <w:sz w:val="24"/>
          <w:szCs w:val="24"/>
        </w:rPr>
      </w:pPr>
    </w:p>
    <w:p w14:paraId="1BE99457" w14:textId="0E68D798" w:rsidR="000767C8" w:rsidRDefault="000767C8">
      <w:pPr>
        <w:rPr>
          <w:b/>
          <w:sz w:val="24"/>
          <w:szCs w:val="24"/>
        </w:rPr>
      </w:pPr>
      <w:r w:rsidRPr="1C3BD57B">
        <w:rPr>
          <w:b/>
          <w:sz w:val="24"/>
          <w:szCs w:val="24"/>
        </w:rPr>
        <w:t>Method</w:t>
      </w:r>
    </w:p>
    <w:p w14:paraId="6723A74D" w14:textId="1DE4006B" w:rsidR="008C594A" w:rsidRDefault="00C35510">
      <w:r>
        <w:t>As part of the Medicine Optimisation Plan (MOP) in 2019, GP practices in Dorset were asked to identify and review patients taking DOACs for non-valvular AF. This audit was then replicated in 2021, to include DOAC</w:t>
      </w:r>
      <w:r w:rsidR="00830EB7">
        <w:t>s</w:t>
      </w:r>
      <w:r>
        <w:t xml:space="preserve"> for atrial fibrillation (AF), deep vein thrombosis (DVT), pulmonary embolism (PE) and any other indications. </w:t>
      </w:r>
    </w:p>
    <w:p w14:paraId="1B14282B" w14:textId="307F7E27" w:rsidR="00C35510" w:rsidRDefault="00C35510">
      <w:r>
        <w:t xml:space="preserve">Practices were provided with a template </w:t>
      </w:r>
      <w:r w:rsidR="0081532E">
        <w:t xml:space="preserve">in which to submit the results </w:t>
      </w:r>
      <w:r>
        <w:t>(Appendix 1)</w:t>
      </w:r>
      <w:r w:rsidR="0081532E">
        <w:t>, the form included the following factors for each of the four DOACs (Apixaban, Dabigatran, Edoxaban and Rivaroxaban):</w:t>
      </w:r>
    </w:p>
    <w:p w14:paraId="6AF27DCB" w14:textId="1751AAC4" w:rsidR="0081532E" w:rsidRDefault="0081532E" w:rsidP="0081532E">
      <w:pPr>
        <w:pStyle w:val="ListParagraph"/>
        <w:numPr>
          <w:ilvl w:val="0"/>
          <w:numId w:val="2"/>
        </w:numPr>
      </w:pPr>
      <w:r>
        <w:lastRenderedPageBreak/>
        <w:t>Number of patients prescribed the DOAC</w:t>
      </w:r>
    </w:p>
    <w:p w14:paraId="3310E8C3" w14:textId="7B5DD2C7" w:rsidR="0081532E" w:rsidRDefault="0081532E" w:rsidP="0081532E">
      <w:pPr>
        <w:pStyle w:val="ListParagraph"/>
        <w:numPr>
          <w:ilvl w:val="0"/>
          <w:numId w:val="2"/>
        </w:numPr>
      </w:pPr>
      <w:r>
        <w:t>Number of patients prescribed the DOAC for each indication</w:t>
      </w:r>
    </w:p>
    <w:p w14:paraId="596C2243" w14:textId="57095196" w:rsidR="0081532E" w:rsidRDefault="0081532E" w:rsidP="0081532E">
      <w:pPr>
        <w:pStyle w:val="ListParagraph"/>
        <w:numPr>
          <w:ilvl w:val="0"/>
          <w:numId w:val="2"/>
        </w:numPr>
      </w:pPr>
      <w:r>
        <w:t xml:space="preserve">Number of patients prescribed DOACs with creatinine clearance checked </w:t>
      </w:r>
      <w:r w:rsidR="00830EB7">
        <w:t>with</w:t>
      </w:r>
      <w:r>
        <w:t>in the appropriate timeframe.</w:t>
      </w:r>
    </w:p>
    <w:p w14:paraId="64A6FE34" w14:textId="4B7C2BB8" w:rsidR="0081532E" w:rsidRDefault="0081532E" w:rsidP="0081532E">
      <w:pPr>
        <w:pStyle w:val="ListParagraph"/>
        <w:numPr>
          <w:ilvl w:val="0"/>
          <w:numId w:val="2"/>
        </w:numPr>
      </w:pPr>
      <w:r>
        <w:t>Number of patients prescribed the DOAC at an appropriate</w:t>
      </w:r>
      <w:r w:rsidR="00830EB7">
        <w:t xml:space="preserve"> dose</w:t>
      </w:r>
    </w:p>
    <w:p w14:paraId="419ED583" w14:textId="1FA02D9C" w:rsidR="0081532E" w:rsidRDefault="0081532E" w:rsidP="0081532E">
      <w:pPr>
        <w:pStyle w:val="ListParagraph"/>
        <w:numPr>
          <w:ilvl w:val="1"/>
          <w:numId w:val="2"/>
        </w:numPr>
      </w:pPr>
      <w:r>
        <w:t xml:space="preserve">Number of patients prescribed the DOAC </w:t>
      </w:r>
      <w:r w:rsidR="00277A4B">
        <w:t>at a dose which was too high</w:t>
      </w:r>
    </w:p>
    <w:p w14:paraId="7AC801B2" w14:textId="3553C823" w:rsidR="00277A4B" w:rsidRDefault="00277A4B" w:rsidP="0081532E">
      <w:pPr>
        <w:pStyle w:val="ListParagraph"/>
        <w:numPr>
          <w:ilvl w:val="1"/>
          <w:numId w:val="2"/>
        </w:numPr>
      </w:pPr>
      <w:r>
        <w:t>Number of patients prescribed the DOAC at a dose which was too low</w:t>
      </w:r>
    </w:p>
    <w:p w14:paraId="6A31BBC2" w14:textId="3E5F5752" w:rsidR="00F524C4" w:rsidRDefault="00F524C4" w:rsidP="00F524C4">
      <w:r>
        <w:t xml:space="preserve">The clinical commissioning group (CCG) provided guidance to the practices to support them in the completing the audit, including data collection templates (Appendix 1), instructions on calculating creatine clearance (CrCl), </w:t>
      </w:r>
      <w:r w:rsidR="00661814">
        <w:t xml:space="preserve">a </w:t>
      </w:r>
      <w:r>
        <w:t>table indicating the renal function monitoring requirements of each DOAC</w:t>
      </w:r>
      <w:r w:rsidR="00FD01C8">
        <w:t xml:space="preserve"> and search codes to identify patient numbers. </w:t>
      </w:r>
    </w:p>
    <w:p w14:paraId="54CF1165" w14:textId="7F5DE7D1" w:rsidR="002F68A2" w:rsidRDefault="002F68A2" w:rsidP="002F68A2">
      <w:pPr>
        <w:rPr>
          <w:b/>
          <w:sz w:val="24"/>
          <w:szCs w:val="24"/>
        </w:rPr>
      </w:pPr>
      <w:r w:rsidRPr="21C631FE">
        <w:rPr>
          <w:b/>
          <w:sz w:val="24"/>
          <w:szCs w:val="24"/>
        </w:rPr>
        <w:t>Sample</w:t>
      </w:r>
    </w:p>
    <w:p w14:paraId="50932945" w14:textId="4FC58141" w:rsidR="002F68A2" w:rsidRPr="002F68A2" w:rsidRDefault="002F68A2" w:rsidP="002F68A2">
      <w:r>
        <w:t xml:space="preserve">Data was collected from 77 surgeries across Dorset, these surgeries were then split into their primary care networks (PCNs). </w:t>
      </w:r>
      <w:r w:rsidR="00F3362E">
        <w:t>2 practices did not complete the audit (Stour Surgery and Sandford Surgery).</w:t>
      </w:r>
    </w:p>
    <w:p w14:paraId="48742305" w14:textId="152A107D" w:rsidR="000767C8" w:rsidRDefault="000767C8">
      <w:pPr>
        <w:rPr>
          <w:b/>
          <w:sz w:val="24"/>
          <w:szCs w:val="24"/>
        </w:rPr>
      </w:pPr>
      <w:r w:rsidRPr="3D5A4C6B">
        <w:rPr>
          <w:b/>
          <w:sz w:val="24"/>
          <w:szCs w:val="24"/>
        </w:rPr>
        <w:t>Results</w:t>
      </w:r>
    </w:p>
    <w:p w14:paraId="78F1FD82" w14:textId="4DB92B49" w:rsidR="00FB5138" w:rsidRDefault="00FB5138">
      <w:r>
        <w:t>22,606 people in Dorset are currently being prescribed a DOAC, where continued treatment is required. Of which 12,124 are prescribed apixaban, 1002 prescribed Dabigatran, 2610 prescribed Edoxaban, 6870 prescribed Rivaroxaban.</w:t>
      </w:r>
    </w:p>
    <w:p w14:paraId="1E491C9D" w14:textId="7FD0CE1E" w:rsidR="17D6C91A" w:rsidRDefault="17D6C91A" w:rsidP="17D6C91A">
      <w:pPr>
        <w:rPr>
          <w:b/>
        </w:rPr>
      </w:pPr>
      <w:r w:rsidRPr="1C3BD57B">
        <w:rPr>
          <w:b/>
        </w:rPr>
        <w:t>Overall Dosing Accuracy</w:t>
      </w:r>
    </w:p>
    <w:tbl>
      <w:tblPr>
        <w:tblStyle w:val="TableGrid"/>
        <w:tblW w:w="0" w:type="auto"/>
        <w:tblLayout w:type="fixed"/>
        <w:tblLook w:val="06A0" w:firstRow="1" w:lastRow="0" w:firstColumn="1" w:lastColumn="0" w:noHBand="1" w:noVBand="1"/>
      </w:tblPr>
      <w:tblGrid>
        <w:gridCol w:w="4508"/>
        <w:gridCol w:w="4508"/>
      </w:tblGrid>
      <w:tr w:rsidR="17D6C91A" w14:paraId="19C341CB" w14:textId="77777777" w:rsidTr="17D6C91A">
        <w:tc>
          <w:tcPr>
            <w:tcW w:w="4508" w:type="dxa"/>
          </w:tcPr>
          <w:p w14:paraId="529BA03C" w14:textId="22589A62" w:rsidR="17D6C91A" w:rsidRDefault="17D6C91A" w:rsidP="17D6C91A">
            <w:r>
              <w:t>DOAC</w:t>
            </w:r>
          </w:p>
        </w:tc>
        <w:tc>
          <w:tcPr>
            <w:tcW w:w="4508" w:type="dxa"/>
          </w:tcPr>
          <w:p w14:paraId="28D38661" w14:textId="54222FC7" w:rsidR="17D6C91A" w:rsidRDefault="17D6C91A" w:rsidP="17D6C91A">
            <w:pPr>
              <w:jc w:val="center"/>
            </w:pPr>
            <w:r>
              <w:t>% Dosed Correctly</w:t>
            </w:r>
          </w:p>
        </w:tc>
      </w:tr>
      <w:tr w:rsidR="17D6C91A" w14:paraId="1516B0A2" w14:textId="77777777" w:rsidTr="17D6C91A">
        <w:tc>
          <w:tcPr>
            <w:tcW w:w="4508" w:type="dxa"/>
          </w:tcPr>
          <w:p w14:paraId="33BB9060" w14:textId="28D9CD7B" w:rsidR="17D6C91A" w:rsidRDefault="17D6C91A" w:rsidP="17D6C91A">
            <w:r>
              <w:t>Edoxaban</w:t>
            </w:r>
          </w:p>
        </w:tc>
        <w:tc>
          <w:tcPr>
            <w:tcW w:w="4508" w:type="dxa"/>
          </w:tcPr>
          <w:p w14:paraId="41BFA7AA" w14:textId="4963ADB9" w:rsidR="17D6C91A" w:rsidRDefault="17D6C91A" w:rsidP="17D6C91A">
            <w:pPr>
              <w:jc w:val="center"/>
            </w:pPr>
            <w:r>
              <w:t>83%</w:t>
            </w:r>
          </w:p>
        </w:tc>
      </w:tr>
      <w:tr w:rsidR="17D6C91A" w14:paraId="28A66449" w14:textId="77777777" w:rsidTr="17D6C91A">
        <w:tc>
          <w:tcPr>
            <w:tcW w:w="4508" w:type="dxa"/>
          </w:tcPr>
          <w:p w14:paraId="42AB1561" w14:textId="33A5202E" w:rsidR="17D6C91A" w:rsidRDefault="17D6C91A" w:rsidP="17D6C91A">
            <w:r>
              <w:t>Rivaroxaban</w:t>
            </w:r>
          </w:p>
        </w:tc>
        <w:tc>
          <w:tcPr>
            <w:tcW w:w="4508" w:type="dxa"/>
          </w:tcPr>
          <w:p w14:paraId="730286E0" w14:textId="60115AB1" w:rsidR="17D6C91A" w:rsidRDefault="17D6C91A" w:rsidP="17D6C91A">
            <w:pPr>
              <w:jc w:val="center"/>
            </w:pPr>
            <w:r>
              <w:t>80%</w:t>
            </w:r>
          </w:p>
        </w:tc>
      </w:tr>
      <w:tr w:rsidR="17D6C91A" w14:paraId="2797C034" w14:textId="77777777" w:rsidTr="17D6C91A">
        <w:tc>
          <w:tcPr>
            <w:tcW w:w="4508" w:type="dxa"/>
          </w:tcPr>
          <w:p w14:paraId="51A167C0" w14:textId="2AF8F2EE" w:rsidR="17D6C91A" w:rsidRDefault="17D6C91A" w:rsidP="17D6C91A">
            <w:r>
              <w:t>Apixaban</w:t>
            </w:r>
          </w:p>
        </w:tc>
        <w:tc>
          <w:tcPr>
            <w:tcW w:w="4508" w:type="dxa"/>
          </w:tcPr>
          <w:p w14:paraId="45AE7CCE" w14:textId="7EAD3384" w:rsidR="17D6C91A" w:rsidRDefault="17D6C91A" w:rsidP="17D6C91A">
            <w:pPr>
              <w:jc w:val="center"/>
            </w:pPr>
            <w:r>
              <w:t>80%</w:t>
            </w:r>
          </w:p>
        </w:tc>
      </w:tr>
      <w:tr w:rsidR="17D6C91A" w14:paraId="68DFF9D0" w14:textId="77777777" w:rsidTr="17D6C91A">
        <w:tc>
          <w:tcPr>
            <w:tcW w:w="4508" w:type="dxa"/>
          </w:tcPr>
          <w:p w14:paraId="58C81899" w14:textId="6F0D8AA6" w:rsidR="17D6C91A" w:rsidRDefault="17D6C91A" w:rsidP="17D6C91A">
            <w:r>
              <w:t>Dabigatran</w:t>
            </w:r>
          </w:p>
        </w:tc>
        <w:tc>
          <w:tcPr>
            <w:tcW w:w="4508" w:type="dxa"/>
          </w:tcPr>
          <w:p w14:paraId="2A919070" w14:textId="6530BE13" w:rsidR="17D6C91A" w:rsidRDefault="17D6C91A" w:rsidP="17D6C91A">
            <w:pPr>
              <w:jc w:val="center"/>
            </w:pPr>
            <w:r>
              <w:t>76%</w:t>
            </w:r>
          </w:p>
        </w:tc>
      </w:tr>
      <w:tr w:rsidR="296FF3CC" w14:paraId="31D7539E" w14:textId="77777777" w:rsidTr="296FF3CC">
        <w:tc>
          <w:tcPr>
            <w:tcW w:w="4508" w:type="dxa"/>
          </w:tcPr>
          <w:p w14:paraId="0D4D6073" w14:textId="50E79245" w:rsidR="296FF3CC" w:rsidRDefault="296FF3CC" w:rsidP="296FF3CC">
            <w:r>
              <w:t>Total</w:t>
            </w:r>
          </w:p>
        </w:tc>
        <w:tc>
          <w:tcPr>
            <w:tcW w:w="4508" w:type="dxa"/>
          </w:tcPr>
          <w:p w14:paraId="194225E9" w14:textId="2F349DB7" w:rsidR="296FF3CC" w:rsidRDefault="1C3BD57B" w:rsidP="296FF3CC">
            <w:pPr>
              <w:jc w:val="center"/>
            </w:pPr>
            <w:r>
              <w:t>80%</w:t>
            </w:r>
          </w:p>
        </w:tc>
      </w:tr>
    </w:tbl>
    <w:p w14:paraId="72F15EA6" w14:textId="5EF1478A" w:rsidR="296FF3CC" w:rsidRDefault="296FF3CC"/>
    <w:p w14:paraId="53BE7A24" w14:textId="1A52238D" w:rsidR="009D5C98" w:rsidRDefault="009D5C98">
      <w:r>
        <w:t>For the purpose of this audit, the compliance with the above standards was assessed per DOAC to ascertain whether the</w:t>
      </w:r>
      <w:r w:rsidR="006E31E2">
        <w:t>re</w:t>
      </w:r>
      <w:r>
        <w:t xml:space="preserve"> were any differences between the DOAC in terms of</w:t>
      </w:r>
      <w:r w:rsidR="006E31E2">
        <w:t xml:space="preserve"> monitoring and appropriate dosing. </w:t>
      </w:r>
    </w:p>
    <w:p w14:paraId="69DCC108" w14:textId="06DDB566" w:rsidR="008C594A" w:rsidRPr="003F2949" w:rsidRDefault="00617F35">
      <w:pPr>
        <w:rPr>
          <w:b/>
          <w:bCs/>
        </w:rPr>
      </w:pPr>
      <w:r>
        <w:rPr>
          <w:noProof/>
        </w:rPr>
        <w:drawing>
          <wp:inline distT="0" distB="0" distL="0" distR="0" wp14:anchorId="560741EE" wp14:editId="6F7919BB">
            <wp:extent cx="5019675" cy="2266950"/>
            <wp:effectExtent l="0" t="0" r="9525" b="0"/>
            <wp:docPr id="7" name="Chart 7">
              <a:extLst xmlns:a="http://schemas.openxmlformats.org/drawingml/2006/main">
                <a:ext uri="{FF2B5EF4-FFF2-40B4-BE49-F238E27FC236}">
                  <a16:creationId xmlns:a16="http://schemas.microsoft.com/office/drawing/2014/main" id="{E0D4158F-49E7-499A-814B-CBE1E5AF13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F2949" w:rsidRPr="003F2949">
        <w:rPr>
          <w:b/>
          <w:bCs/>
        </w:rPr>
        <w:t xml:space="preserve"> </w:t>
      </w:r>
    </w:p>
    <w:p w14:paraId="46D52B3A" w14:textId="0B5CC8DB" w:rsidR="003F2949" w:rsidRPr="008C594A" w:rsidRDefault="003F2949" w:rsidP="6FA68E7D">
      <w:pPr>
        <w:jc w:val="center"/>
      </w:pPr>
    </w:p>
    <w:p w14:paraId="07E5CFDE" w14:textId="50B73558" w:rsidR="009647B7" w:rsidRDefault="006E31E2">
      <w:r>
        <w:t>Sherborne PCN demonstrated the highest number of patient</w:t>
      </w:r>
      <w:r w:rsidR="00C029E1">
        <w:t>s (94%) who had appropriate monitoring of their renal function whilst on Apixaban. This was closely followed by Crane Valley PCN where 9</w:t>
      </w:r>
      <w:r w:rsidR="002D2683">
        <w:t>2</w:t>
      </w:r>
      <w:r w:rsidR="00C029E1">
        <w:t>% of patients had their creatinine clearance assessed within an appropriate time frame. Poole North PCN had the lowest percentage of patients</w:t>
      </w:r>
      <w:r w:rsidR="007D021C">
        <w:t xml:space="preserve"> (28%)</w:t>
      </w:r>
      <w:r w:rsidR="00C029E1">
        <w:t xml:space="preserve"> who had creatine clearance monitored within an appropriate time frame</w:t>
      </w:r>
      <w:r w:rsidR="007D021C">
        <w:t>, this was closely followed by Jurassic Coast (31%). Blandford PCN had the highest percentage of patients on an appropriate dose (9</w:t>
      </w:r>
      <w:r w:rsidR="002D2683">
        <w:t>7</w:t>
      </w:r>
      <w:r w:rsidR="007D021C">
        <w:t>%), followed by Bournemouth East PCN</w:t>
      </w:r>
      <w:r w:rsidR="002D2683">
        <w:t>, Sherborne PCN and Shore Medical PCN</w:t>
      </w:r>
      <w:r w:rsidR="007D021C">
        <w:t xml:space="preserve"> (95%).</w:t>
      </w:r>
      <w:r w:rsidR="00676720">
        <w:t xml:space="preserve"> All the PCN had at least 1% of patients on a dose considered to be too high bar Central Bournemouth</w:t>
      </w:r>
      <w:r w:rsidR="00FE1BAA">
        <w:t xml:space="preserve"> (0%)</w:t>
      </w:r>
      <w:r w:rsidR="00676720">
        <w:t>, and all bar 1 PCN (Vale</w:t>
      </w:r>
      <w:r w:rsidR="002D2683">
        <w:t>, 0%</w:t>
      </w:r>
      <w:r w:rsidR="00676720">
        <w:t>) had patients prescribed a dose of Apixaban considered to low for their indication, age, weight, and renal function.</w:t>
      </w:r>
    </w:p>
    <w:p w14:paraId="5940CAC8" w14:textId="77777777" w:rsidR="003D1A27" w:rsidRPr="003D1A27" w:rsidRDefault="003D1A27"/>
    <w:p w14:paraId="3166D723" w14:textId="40748FDE" w:rsidR="009647B7" w:rsidRDefault="00072069" w:rsidP="6FA68E7D">
      <w:pPr>
        <w:jc w:val="center"/>
      </w:pPr>
      <w:r>
        <w:rPr>
          <w:noProof/>
        </w:rPr>
        <w:drawing>
          <wp:inline distT="0" distB="0" distL="0" distR="0" wp14:anchorId="52C0013A" wp14:editId="7FD964DF">
            <wp:extent cx="5448300" cy="2428875"/>
            <wp:effectExtent l="0" t="0" r="0" b="9525"/>
            <wp:docPr id="8" name="Chart 8">
              <a:extLst xmlns:a="http://schemas.openxmlformats.org/drawingml/2006/main">
                <a:ext uri="{FF2B5EF4-FFF2-40B4-BE49-F238E27FC236}">
                  <a16:creationId xmlns:a16="http://schemas.microsoft.com/office/drawing/2014/main" id="{18DEA3B0-BFE5-4209-B106-45AA0D65FC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B813D9" w14:textId="77777777" w:rsidR="003D1A27" w:rsidRDefault="003D1A27" w:rsidP="6FA68E7D">
      <w:pPr>
        <w:jc w:val="center"/>
      </w:pPr>
    </w:p>
    <w:p w14:paraId="1BEB5B65" w14:textId="731B2DD3" w:rsidR="009647B7" w:rsidRPr="006640EB" w:rsidRDefault="00FE1BAA">
      <w:r>
        <w:t>Crane Valley PCN demonstrated the highest number of patients (</w:t>
      </w:r>
      <w:r w:rsidR="0062160E">
        <w:t>90</w:t>
      </w:r>
      <w:r>
        <w:t>%) who had appropriate monitoring of their renal function whilst on Dabigatran. This was closely followed by Purbeck PCN where 8</w:t>
      </w:r>
      <w:r w:rsidR="0062160E">
        <w:t>9</w:t>
      </w:r>
      <w:r>
        <w:t>% of patients had their creatinine clearance assessed within an appropriate time frame. Jurassic Coast PCN had the lowest percentage of patients (2</w:t>
      </w:r>
      <w:r w:rsidR="0062160E">
        <w:t>2</w:t>
      </w:r>
      <w:r>
        <w:t>%) who had creatine clearance monitored within an appropriate time frame, this was closely followed by Poole North (</w:t>
      </w:r>
      <w:r w:rsidR="00594A54">
        <w:t>2</w:t>
      </w:r>
      <w:r w:rsidR="0062160E">
        <w:t>7</w:t>
      </w:r>
      <w:r w:rsidR="00594A54">
        <w:t>%)</w:t>
      </w:r>
      <w:r w:rsidR="00B3221A">
        <w:t>.</w:t>
      </w:r>
      <w:r>
        <w:t xml:space="preserve"> </w:t>
      </w:r>
      <w:r w:rsidR="00B3221A">
        <w:t>Shore Medical</w:t>
      </w:r>
      <w:r>
        <w:t xml:space="preserve"> PCN had the highest percentage of patients on an appropriate dose (9</w:t>
      </w:r>
      <w:r w:rsidR="0062160E">
        <w:t>6</w:t>
      </w:r>
      <w:r>
        <w:t>%), followed by B</w:t>
      </w:r>
      <w:r w:rsidR="00B3221A">
        <w:t>landford</w:t>
      </w:r>
      <w:r>
        <w:t xml:space="preserve"> PCN (9</w:t>
      </w:r>
      <w:r w:rsidR="0062160E">
        <w:t>5</w:t>
      </w:r>
      <w:r>
        <w:t>%). All the PCN had at least 1% of patients on a dose considered to be too high bar</w:t>
      </w:r>
      <w:r w:rsidR="00466472">
        <w:t>;</w:t>
      </w:r>
      <w:r>
        <w:t xml:space="preserve"> </w:t>
      </w:r>
      <w:r w:rsidR="00466472">
        <w:t xml:space="preserve">Blandford (0%), Central Bournemouth (0%), Poole Bay (0%) and Shore Medical (0%). Only Central Bournemouth PCN, Christchurch PCN, </w:t>
      </w:r>
      <w:r w:rsidR="006640EB">
        <w:t>Jurassic</w:t>
      </w:r>
      <w:r w:rsidR="00466472">
        <w:t xml:space="preserve"> Coast PCN</w:t>
      </w:r>
      <w:r w:rsidR="006640EB">
        <w:t>, North Bournemouth PCN, Poole Bay PCN, Poole North PCN and Vale PCN had 0% of patients prescribed a dose of Dabigatran considered too low for their indication, age, weight, and renal function.</w:t>
      </w:r>
    </w:p>
    <w:p w14:paraId="0CFA73BF" w14:textId="77777777" w:rsidR="0062160E" w:rsidRDefault="0062160E">
      <w:pPr>
        <w:rPr>
          <w:b/>
          <w:bCs/>
        </w:rPr>
      </w:pPr>
    </w:p>
    <w:p w14:paraId="00781038" w14:textId="126D9B48" w:rsidR="002968DC" w:rsidRDefault="002968DC" w:rsidP="6FA68E7D">
      <w:pPr>
        <w:jc w:val="center"/>
        <w:rPr>
          <w:b/>
          <w:bCs/>
        </w:rPr>
      </w:pPr>
      <w:r>
        <w:rPr>
          <w:noProof/>
        </w:rPr>
        <w:lastRenderedPageBreak/>
        <w:drawing>
          <wp:inline distT="0" distB="0" distL="0" distR="0" wp14:anchorId="11EAD028" wp14:editId="51D73688">
            <wp:extent cx="4246075" cy="2534970"/>
            <wp:effectExtent l="0" t="0" r="2540" b="17780"/>
            <wp:docPr id="9" name="Chart 9">
              <a:extLst xmlns:a="http://schemas.openxmlformats.org/drawingml/2006/main">
                <a:ext uri="{FF2B5EF4-FFF2-40B4-BE49-F238E27FC236}">
                  <a16:creationId xmlns:a16="http://schemas.microsoft.com/office/drawing/2014/main" id="{5986A420-4355-444F-A6FF-5B8848C0A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D28C83" w14:textId="256F40FA" w:rsidR="00E83763" w:rsidRPr="006640EB" w:rsidRDefault="009E4554" w:rsidP="00E83763">
      <w:bookmarkStart w:id="0" w:name="_Hlk99569725"/>
      <w:r>
        <w:t>Blandford PCN demonstrated the highest number of patients (9</w:t>
      </w:r>
      <w:r w:rsidR="0062160E">
        <w:t>4</w:t>
      </w:r>
      <w:r>
        <w:t>%) who had appropriate monitoring of their renal function whilst on Edoxaban. This was closely followed by Crane Valley PCN where 9</w:t>
      </w:r>
      <w:r w:rsidR="0062160E">
        <w:t>3</w:t>
      </w:r>
      <w:r>
        <w:t xml:space="preserve">% of patients had their creatinine clearance assessed within an appropriate time frame. </w:t>
      </w:r>
      <w:r w:rsidR="00E83763">
        <w:t>Central Bournemouth</w:t>
      </w:r>
      <w:r>
        <w:t xml:space="preserve"> PCN </w:t>
      </w:r>
      <w:r w:rsidR="00D8099D">
        <w:t>had</w:t>
      </w:r>
      <w:r>
        <w:t xml:space="preserve"> the lowest percentage of patients (</w:t>
      </w:r>
      <w:r w:rsidR="00E83763">
        <w:t>32</w:t>
      </w:r>
      <w:r>
        <w:t xml:space="preserve">%) who had creatine clearance monitored within an appropriate time frame, this was closely followed by </w:t>
      </w:r>
      <w:r w:rsidR="00E83763">
        <w:t>South Coast Medical</w:t>
      </w:r>
      <w:r>
        <w:t xml:space="preserve"> (3</w:t>
      </w:r>
      <w:r w:rsidR="00E83763">
        <w:t>4</w:t>
      </w:r>
      <w:r>
        <w:t xml:space="preserve">%). </w:t>
      </w:r>
      <w:r w:rsidR="00E83763">
        <w:t>Wimborne</w:t>
      </w:r>
      <w:r>
        <w:t xml:space="preserve"> PCN had the highest percentage of patients on an appropriate dose (9</w:t>
      </w:r>
      <w:r w:rsidR="00E83763">
        <w:t>9</w:t>
      </w:r>
      <w:r>
        <w:t xml:space="preserve">%), followed by </w:t>
      </w:r>
      <w:r w:rsidR="00E83763">
        <w:t>South Coast Medical</w:t>
      </w:r>
      <w:r>
        <w:t xml:space="preserve"> PCN</w:t>
      </w:r>
      <w:r w:rsidR="0062160E">
        <w:t xml:space="preserve"> and Blandford PCN</w:t>
      </w:r>
      <w:r>
        <w:t xml:space="preserve"> (9</w:t>
      </w:r>
      <w:r w:rsidR="0062160E">
        <w:t>4</w:t>
      </w:r>
      <w:r>
        <w:t xml:space="preserve">%). All the PCN had at least 1% of patients on a dose considered to be too high bar </w:t>
      </w:r>
      <w:r w:rsidR="00E83763">
        <w:t>Wimborne</w:t>
      </w:r>
      <w:r>
        <w:t xml:space="preserve"> (0%)</w:t>
      </w:r>
      <w:r w:rsidR="00E83763">
        <w:t xml:space="preserve">. Only </w:t>
      </w:r>
      <w:r w:rsidR="00BA284C">
        <w:t xml:space="preserve">Blandford PCN, Poole Bay PCN and Vale PCN </w:t>
      </w:r>
      <w:r w:rsidR="00E83763">
        <w:t xml:space="preserve">had 0% of patients prescribed a dose of </w:t>
      </w:r>
      <w:r w:rsidR="00BA284C">
        <w:t>Edoxaban</w:t>
      </w:r>
      <w:r w:rsidR="00E83763">
        <w:t xml:space="preserve"> </w:t>
      </w:r>
      <w:r w:rsidR="0062160E">
        <w:t>c</w:t>
      </w:r>
      <w:r w:rsidR="00E83763">
        <w:t>onsidered too low for their indication, age, weight, and renal function.</w:t>
      </w:r>
    </w:p>
    <w:bookmarkEnd w:id="0"/>
    <w:p w14:paraId="5C2A5923" w14:textId="77777777" w:rsidR="00BA284C" w:rsidRDefault="00BA284C"/>
    <w:p w14:paraId="07A78B0E" w14:textId="402E99CE" w:rsidR="002968DC" w:rsidRDefault="00B42323" w:rsidP="6FA68E7D">
      <w:pPr>
        <w:jc w:val="center"/>
        <w:rPr>
          <w:b/>
          <w:bCs/>
        </w:rPr>
      </w:pPr>
      <w:r>
        <w:rPr>
          <w:noProof/>
        </w:rPr>
        <w:drawing>
          <wp:inline distT="0" distB="0" distL="0" distR="0" wp14:anchorId="56CF51DF" wp14:editId="4853E3A9">
            <wp:extent cx="4572000" cy="2743200"/>
            <wp:effectExtent l="0" t="0" r="0" b="0"/>
            <wp:docPr id="10" name="Chart 10">
              <a:extLst xmlns:a="http://schemas.openxmlformats.org/drawingml/2006/main">
                <a:ext uri="{FF2B5EF4-FFF2-40B4-BE49-F238E27FC236}">
                  <a16:creationId xmlns:a16="http://schemas.microsoft.com/office/drawing/2014/main" id="{7E128192-8A05-4B19-99D2-F1DC6F9B67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9F5671" w14:textId="77777777" w:rsidR="003D1A27" w:rsidRDefault="003D1A27" w:rsidP="6FA68E7D">
      <w:pPr>
        <w:jc w:val="center"/>
        <w:rPr>
          <w:b/>
          <w:bCs/>
        </w:rPr>
      </w:pPr>
    </w:p>
    <w:p w14:paraId="52AF0F64" w14:textId="2AC519CD" w:rsidR="00BA284C" w:rsidRPr="00E11504" w:rsidRDefault="00BA284C">
      <w:r>
        <w:t>Crane Valley</w:t>
      </w:r>
      <w:r w:rsidRPr="00BA284C">
        <w:t xml:space="preserve"> PCN demonstrated the highest number of patients (9</w:t>
      </w:r>
      <w:r w:rsidR="00ED4E3E">
        <w:t>1</w:t>
      </w:r>
      <w:r w:rsidRPr="00BA284C">
        <w:t xml:space="preserve">%) who had appropriate monitoring of their renal function whilst on </w:t>
      </w:r>
      <w:r>
        <w:t>Rivar</w:t>
      </w:r>
      <w:r w:rsidRPr="00BA284C">
        <w:t xml:space="preserve">oxaban. This was closely followed by </w:t>
      </w:r>
      <w:r>
        <w:t>Poole Bay</w:t>
      </w:r>
      <w:r w:rsidRPr="00BA284C">
        <w:t xml:space="preserve"> PCN where </w:t>
      </w:r>
      <w:r>
        <w:t>88%</w:t>
      </w:r>
      <w:r w:rsidRPr="00BA284C">
        <w:t xml:space="preserve"> of patients had their creatinine clearance assessed within an appropriate time frame. </w:t>
      </w:r>
      <w:r w:rsidR="00A33F92">
        <w:t>Poole North</w:t>
      </w:r>
      <w:r w:rsidRPr="00BA284C">
        <w:t xml:space="preserve"> PCN had</w:t>
      </w:r>
      <w:r w:rsidR="00D8099D">
        <w:t xml:space="preserve"> </w:t>
      </w:r>
      <w:r w:rsidRPr="00BA284C">
        <w:t>the lowest percentage of patients (</w:t>
      </w:r>
      <w:r w:rsidR="00A33F92">
        <w:t>25</w:t>
      </w:r>
      <w:r w:rsidRPr="00BA284C">
        <w:t xml:space="preserve">%) who had creatine clearance </w:t>
      </w:r>
      <w:r w:rsidRPr="00BA284C">
        <w:lastRenderedPageBreak/>
        <w:t>monitored within an appropriate time frame, this was closely followed by South Coast Medical (</w:t>
      </w:r>
      <w:r w:rsidR="00A33F92">
        <w:t>26%</w:t>
      </w:r>
      <w:r w:rsidRPr="00BA284C">
        <w:t xml:space="preserve">). </w:t>
      </w:r>
      <w:r w:rsidR="00A33F92">
        <w:t>Bournemouth East</w:t>
      </w:r>
      <w:r w:rsidRPr="00BA284C">
        <w:t xml:space="preserve"> PCN had the highest percentage of patients on an appropriate dose (9</w:t>
      </w:r>
      <w:r w:rsidR="00A33F92">
        <w:t>7</w:t>
      </w:r>
      <w:r w:rsidRPr="00BA284C">
        <w:t>%), followed by South Coast Medical PCN</w:t>
      </w:r>
      <w:r w:rsidR="00A33F92">
        <w:t xml:space="preserve"> and Blandford PCN</w:t>
      </w:r>
      <w:r w:rsidRPr="00BA284C">
        <w:t xml:space="preserve"> (9</w:t>
      </w:r>
      <w:r w:rsidR="00A33F92">
        <w:t>6%</w:t>
      </w:r>
      <w:r w:rsidRPr="00BA284C">
        <w:t xml:space="preserve">). All the PCN had at least 1% of patients on a dose considered to be too high bar </w:t>
      </w:r>
      <w:r w:rsidR="00A33F92">
        <w:t>Vale PCN</w:t>
      </w:r>
      <w:r w:rsidR="00ED4E3E">
        <w:t xml:space="preserve"> and Central Bournemouth PCN</w:t>
      </w:r>
      <w:r w:rsidRPr="00BA284C">
        <w:t xml:space="preserve"> (0%). </w:t>
      </w:r>
      <w:r w:rsidR="00ED4E3E">
        <w:t>Blandford PCN,</w:t>
      </w:r>
      <w:r w:rsidRPr="00BA284C">
        <w:t xml:space="preserve"> </w:t>
      </w:r>
      <w:r w:rsidR="00A33F92">
        <w:t xml:space="preserve">Bournemouth East </w:t>
      </w:r>
      <w:r w:rsidRPr="00BA284C">
        <w:t xml:space="preserve">PCN, </w:t>
      </w:r>
      <w:r w:rsidR="00A33F92">
        <w:t xml:space="preserve">Central Bournemouth </w:t>
      </w:r>
      <w:r w:rsidR="00B56C8B">
        <w:t>PCN, Crane</w:t>
      </w:r>
      <w:r w:rsidR="00ED4E3E">
        <w:t xml:space="preserve"> Valley PCN, North Bournemouth PCN, </w:t>
      </w:r>
      <w:r w:rsidR="00A33F92">
        <w:t xml:space="preserve">Poole Bay PCN, Vale PCN had 0% of patients prescribed a dose of Edoxaban considered to low for their indication, age, </w:t>
      </w:r>
      <w:r w:rsidR="00E523EB">
        <w:t>weight,</w:t>
      </w:r>
      <w:r w:rsidR="00A33F92">
        <w:t xml:space="preserve"> and renal function.</w:t>
      </w:r>
    </w:p>
    <w:p w14:paraId="234A5333" w14:textId="7F12D88B" w:rsidR="3907DF81" w:rsidRDefault="3907DF81" w:rsidP="3907DF81">
      <w:pPr>
        <w:rPr>
          <w:b/>
          <w:bCs/>
        </w:rPr>
      </w:pPr>
    </w:p>
    <w:p w14:paraId="1F2E3EF1" w14:textId="16C33576" w:rsidR="007E3583" w:rsidRDefault="000767C8">
      <w:pPr>
        <w:rPr>
          <w:b/>
          <w:sz w:val="24"/>
          <w:szCs w:val="24"/>
        </w:rPr>
      </w:pPr>
      <w:r w:rsidRPr="3907DF81">
        <w:rPr>
          <w:b/>
          <w:sz w:val="24"/>
          <w:szCs w:val="24"/>
        </w:rPr>
        <w:t>Discussion</w:t>
      </w:r>
    </w:p>
    <w:p w14:paraId="1B6E87A3" w14:textId="1AF8A0FC" w:rsidR="004C22D8" w:rsidRDefault="004C22D8">
      <w:r>
        <w:t>The National average for incorrect dosing of DOACs is 16% and has identified as a priority for medicines safety improvement by the Chief Pharmaceutical Officer and Regional Medicines optimisation Committees in 2022. Dorset therefore is performing significantly worse than the national average as a system and increasing risk of harm to patient</w:t>
      </w:r>
      <w:r w:rsidR="17D6C91A">
        <w:t>s</w:t>
      </w:r>
      <w:r w:rsidR="17D6C91A" w:rsidRPr="17D6C91A">
        <w:rPr>
          <w:vertAlign w:val="superscript"/>
        </w:rPr>
        <w:t>[3]</w:t>
      </w:r>
      <w:r w:rsidR="17D6C91A">
        <w:t>.</w:t>
      </w:r>
    </w:p>
    <w:p w14:paraId="7211406F" w14:textId="4A59C30B" w:rsidR="004C22D8" w:rsidRDefault="004C22D8">
      <w:r>
        <w:t>A lack of familiarity with DOACs including their different and individually complex dosing regimens is thought to contribute to patients being initiated and/or maintained on the incorrect dose. From the results we can see there is vast room for improvement in the monitoring of DOACs within PCN, many GP surgeries reported that poor monitoring was due to limited recording of patient’s weight/</w:t>
      </w:r>
      <w:r w:rsidR="00DC7674">
        <w:t>outdated</w:t>
      </w:r>
      <w:r>
        <w:t xml:space="preserve"> weight reports</w:t>
      </w:r>
      <w:r w:rsidR="00DC7674">
        <w:t>. W</w:t>
      </w:r>
      <w:r>
        <w:t>eight is an essential part of calculating CrCl</w:t>
      </w:r>
      <w:r w:rsidR="00DC7674">
        <w:t>. O</w:t>
      </w:r>
      <w:r w:rsidR="00A35DFF">
        <w:t>ther GP surgeries reported that CrCl was not regularly recorded compared to eGFR, this may lead to surgeries attempting to use eGFR to calculate doses and monitor renal function, however it is essential that PCN</w:t>
      </w:r>
      <w:r w:rsidR="00DC7674">
        <w:t>s</w:t>
      </w:r>
      <w:r w:rsidR="00A35DFF">
        <w:t xml:space="preserve"> are educated on the importance of using CrCl to calculate doses of DOAC rather than using eGFR as eGFR can overestimate renal function and increase the risk of bleeding events.</w:t>
      </w:r>
    </w:p>
    <w:p w14:paraId="5593DC9A" w14:textId="6BCD1316" w:rsidR="004C22D8" w:rsidRDefault="00406A7F">
      <w:r>
        <w:t>No PCNs met all 4 standards set out within the audit. On comparison of standard A and standard B, we can see that patients were more likely to be on the correct dose but less likely to have appropriate monitoring of renal function completed</w:t>
      </w:r>
      <w:r w:rsidR="004C22D8">
        <w:t xml:space="preserve"> within the required timeframe. DOACs are still relatively new agents, and their usage is continuing to expand, although they do not require routine INR monitoring like warfarin </w:t>
      </w:r>
      <w:r w:rsidR="00DC7674">
        <w:t>they</w:t>
      </w:r>
      <w:r w:rsidR="004C22D8">
        <w:t xml:space="preserve"> do present their own issues including dose adjustment in renal impairment. The consequences of either therapy being poorly managed may be severe for the patient. </w:t>
      </w:r>
    </w:p>
    <w:p w14:paraId="4AD6E6E3" w14:textId="49F4EAA6" w:rsidR="000C7C8E" w:rsidRDefault="000C7C8E">
      <w:r>
        <w:t xml:space="preserve">It should be noted that this audit was undertaken during the COVID-19 pandemic, where extreme pressures and uncertainty </w:t>
      </w:r>
      <w:r w:rsidR="007120A9">
        <w:t xml:space="preserve">were present. During the time of the audit, </w:t>
      </w:r>
      <w:r w:rsidR="00D93956">
        <w:t xml:space="preserve">GP practices had to adapt to unforeseen issues and priorities and adapt their practice methods. Consequently, routine monitoring and patient recall/reviews may have been less prioritised, and practices may still be catching up on these aspects of practice. Furthermore during </w:t>
      </w:r>
      <w:r w:rsidR="001D4010">
        <w:t>2021, there was a national shortage of blood bottles within primary and secondary care which resulted in only clinically urgent testing being completed, therefore patients undergoing routine monitoring may have had blood tests delayed.</w:t>
      </w:r>
    </w:p>
    <w:p w14:paraId="74F7B9DE" w14:textId="77777777" w:rsidR="000C7C8E" w:rsidRPr="00E631E5" w:rsidRDefault="000C7C8E"/>
    <w:p w14:paraId="0164491D" w14:textId="4C423A1F" w:rsidR="000767C8" w:rsidRDefault="000767C8">
      <w:pPr>
        <w:rPr>
          <w:b/>
          <w:sz w:val="24"/>
          <w:szCs w:val="24"/>
        </w:rPr>
      </w:pPr>
      <w:r w:rsidRPr="4951BF63">
        <w:rPr>
          <w:b/>
          <w:sz w:val="24"/>
          <w:szCs w:val="24"/>
        </w:rPr>
        <w:t>Limitation</w:t>
      </w:r>
      <w:r w:rsidR="00FE10C8" w:rsidRPr="4951BF63">
        <w:rPr>
          <w:b/>
          <w:sz w:val="24"/>
          <w:szCs w:val="24"/>
        </w:rPr>
        <w:t>s</w:t>
      </w:r>
    </w:p>
    <w:tbl>
      <w:tblPr>
        <w:tblStyle w:val="TableGrid"/>
        <w:tblW w:w="0" w:type="auto"/>
        <w:tblLayout w:type="fixed"/>
        <w:tblLook w:val="06A0" w:firstRow="1" w:lastRow="0" w:firstColumn="1" w:lastColumn="0" w:noHBand="1" w:noVBand="1"/>
      </w:tblPr>
      <w:tblGrid>
        <w:gridCol w:w="4508"/>
        <w:gridCol w:w="4508"/>
      </w:tblGrid>
      <w:tr w:rsidR="199674C4" w14:paraId="4DD6CE8C" w14:textId="77777777" w:rsidTr="199674C4">
        <w:tc>
          <w:tcPr>
            <w:tcW w:w="4508" w:type="dxa"/>
          </w:tcPr>
          <w:p w14:paraId="077286CE" w14:textId="08DE1CC2" w:rsidR="00B4099E" w:rsidRDefault="00B4099E" w:rsidP="2504F5FD">
            <w:pPr>
              <w:rPr>
                <w:sz w:val="18"/>
                <w:szCs w:val="18"/>
              </w:rPr>
            </w:pPr>
            <w:r w:rsidRPr="4272E74E">
              <w:rPr>
                <w:sz w:val="18"/>
                <w:szCs w:val="18"/>
              </w:rPr>
              <w:t>Some practices completed the data collection so late in the audit period that it is possible they may not have addressed the patients identified as being on the incorrect dose.</w:t>
            </w:r>
            <w:r w:rsidR="3D6E6AEA" w:rsidRPr="4272E74E">
              <w:rPr>
                <w:sz w:val="18"/>
                <w:szCs w:val="18"/>
              </w:rPr>
              <w:t xml:space="preserve"> The audit was originally meant to be undertaken in 2021 but was extended to 2022, in light of the pandemic.</w:t>
            </w:r>
          </w:p>
          <w:p w14:paraId="057712BF" w14:textId="2F9F0D9A" w:rsidR="199674C4" w:rsidRDefault="199674C4" w:rsidP="199674C4">
            <w:pPr>
              <w:rPr>
                <w:b/>
                <w:sz w:val="18"/>
                <w:szCs w:val="18"/>
              </w:rPr>
            </w:pPr>
          </w:p>
        </w:tc>
        <w:tc>
          <w:tcPr>
            <w:tcW w:w="4508" w:type="dxa"/>
          </w:tcPr>
          <w:p w14:paraId="719CBC21" w14:textId="4055F076" w:rsidR="199674C4" w:rsidRPr="003D1A27" w:rsidRDefault="00B56C8B" w:rsidP="199674C4">
            <w:pPr>
              <w:rPr>
                <w:sz w:val="18"/>
                <w:szCs w:val="18"/>
              </w:rPr>
            </w:pPr>
            <w:r w:rsidRPr="7236E8C1">
              <w:rPr>
                <w:sz w:val="18"/>
                <w:szCs w:val="18"/>
              </w:rPr>
              <w:t xml:space="preserve">Limitation of the study was that the percentages did not add up to 100%; for example, it was noted a practice recorded 131 patients on Apixaban of which 77 had an appropriate dose, and 1 on a dose to low. This </w:t>
            </w:r>
            <w:r w:rsidR="00DA5002" w:rsidRPr="7236E8C1">
              <w:rPr>
                <w:sz w:val="18"/>
                <w:szCs w:val="18"/>
              </w:rPr>
              <w:t>means 53 patients were unaccounted for in terms of dosing. This was a repetitive theme within the audit.</w:t>
            </w:r>
          </w:p>
        </w:tc>
      </w:tr>
      <w:tr w:rsidR="199674C4" w14:paraId="72D65D17" w14:textId="77777777" w:rsidTr="199674C4">
        <w:tc>
          <w:tcPr>
            <w:tcW w:w="4508" w:type="dxa"/>
          </w:tcPr>
          <w:p w14:paraId="70FE7A2F" w14:textId="2ADCB336" w:rsidR="00B4099E" w:rsidRDefault="00B4099E" w:rsidP="5B29C0A4">
            <w:pPr>
              <w:rPr>
                <w:sz w:val="18"/>
                <w:szCs w:val="18"/>
              </w:rPr>
            </w:pPr>
            <w:r w:rsidRPr="4272E74E">
              <w:rPr>
                <w:sz w:val="18"/>
                <w:szCs w:val="18"/>
              </w:rPr>
              <w:lastRenderedPageBreak/>
              <w:t>The audit did not identify where the DOAC was initiated e.g., primary care or secondary care.</w:t>
            </w:r>
          </w:p>
          <w:p w14:paraId="3EF97E84" w14:textId="748D40A6" w:rsidR="199674C4" w:rsidRDefault="199674C4" w:rsidP="199674C4">
            <w:pPr>
              <w:rPr>
                <w:b/>
                <w:sz w:val="18"/>
                <w:szCs w:val="18"/>
              </w:rPr>
            </w:pPr>
          </w:p>
        </w:tc>
        <w:tc>
          <w:tcPr>
            <w:tcW w:w="4508" w:type="dxa"/>
          </w:tcPr>
          <w:p w14:paraId="5981639A" w14:textId="1F27722F" w:rsidR="005B6D8E" w:rsidRDefault="005B6D8E" w:rsidP="497A2A59">
            <w:pPr>
              <w:rPr>
                <w:sz w:val="18"/>
                <w:szCs w:val="18"/>
              </w:rPr>
            </w:pPr>
            <w:r w:rsidRPr="497A2A59">
              <w:rPr>
                <w:sz w:val="18"/>
                <w:szCs w:val="18"/>
              </w:rPr>
              <w:t xml:space="preserve">Many </w:t>
            </w:r>
            <w:r w:rsidRPr="47A05375">
              <w:rPr>
                <w:sz w:val="18"/>
                <w:szCs w:val="18"/>
              </w:rPr>
              <w:t>practices</w:t>
            </w:r>
            <w:r w:rsidRPr="497A2A59">
              <w:rPr>
                <w:sz w:val="18"/>
                <w:szCs w:val="18"/>
              </w:rPr>
              <w:t xml:space="preserve"> had up to date records of eGFR for patients, but CrCl was not recorded within </w:t>
            </w:r>
            <w:r w:rsidRPr="68D39BA9">
              <w:rPr>
                <w:sz w:val="18"/>
                <w:szCs w:val="18"/>
              </w:rPr>
              <w:t>SystmOne</w:t>
            </w:r>
            <w:r w:rsidRPr="497A2A59">
              <w:rPr>
                <w:sz w:val="18"/>
                <w:szCs w:val="18"/>
              </w:rPr>
              <w:t xml:space="preserve"> </w:t>
            </w:r>
            <w:r w:rsidRPr="5B8B438C">
              <w:rPr>
                <w:sz w:val="18"/>
                <w:szCs w:val="18"/>
              </w:rPr>
              <w:t>hence</w:t>
            </w:r>
            <w:r w:rsidRPr="497A2A59">
              <w:rPr>
                <w:sz w:val="18"/>
                <w:szCs w:val="18"/>
              </w:rPr>
              <w:t xml:space="preserve"> low results were seen for appropriate monitoring, education around the using CrCl for DOACs is essential. </w:t>
            </w:r>
          </w:p>
          <w:p w14:paraId="03535ED7" w14:textId="71F23510" w:rsidR="199674C4" w:rsidRDefault="199674C4" w:rsidP="199674C4">
            <w:pPr>
              <w:rPr>
                <w:b/>
                <w:sz w:val="18"/>
                <w:szCs w:val="18"/>
              </w:rPr>
            </w:pPr>
          </w:p>
        </w:tc>
      </w:tr>
      <w:tr w:rsidR="199674C4" w14:paraId="7AB9F98B" w14:textId="77777777" w:rsidTr="199674C4">
        <w:tc>
          <w:tcPr>
            <w:tcW w:w="4508" w:type="dxa"/>
          </w:tcPr>
          <w:p w14:paraId="7008ED78" w14:textId="7D4F0BD7" w:rsidR="005D7E06" w:rsidRDefault="005D7E06" w:rsidP="38DB14D0">
            <w:pPr>
              <w:rPr>
                <w:sz w:val="18"/>
                <w:szCs w:val="18"/>
              </w:rPr>
            </w:pPr>
            <w:r w:rsidRPr="7236E8C1">
              <w:rPr>
                <w:sz w:val="18"/>
                <w:szCs w:val="18"/>
              </w:rPr>
              <w:t>Incorrect coding within clinical records may have resulted in people being coded for multiple indications</w:t>
            </w:r>
            <w:r w:rsidR="1C3ECA3B" w:rsidRPr="7236E8C1">
              <w:rPr>
                <w:sz w:val="18"/>
                <w:szCs w:val="18"/>
              </w:rPr>
              <w:t xml:space="preserve"> </w:t>
            </w:r>
            <w:r w:rsidRPr="7236E8C1">
              <w:rPr>
                <w:sz w:val="18"/>
                <w:szCs w:val="18"/>
              </w:rPr>
              <w:t>and therefore there may have been some replication of patients within the results</w:t>
            </w:r>
            <w:r w:rsidR="1F8F31E4" w:rsidRPr="7236E8C1">
              <w:rPr>
                <w:sz w:val="18"/>
                <w:szCs w:val="18"/>
              </w:rPr>
              <w:t>.</w:t>
            </w:r>
          </w:p>
          <w:p w14:paraId="0774B476" w14:textId="0C464024" w:rsidR="199674C4" w:rsidRDefault="199674C4" w:rsidP="199674C4">
            <w:pPr>
              <w:rPr>
                <w:b/>
                <w:sz w:val="18"/>
                <w:szCs w:val="18"/>
              </w:rPr>
            </w:pPr>
          </w:p>
        </w:tc>
        <w:tc>
          <w:tcPr>
            <w:tcW w:w="4508" w:type="dxa"/>
          </w:tcPr>
          <w:p w14:paraId="14CB678A" w14:textId="69CC085F" w:rsidR="00DA5002" w:rsidRDefault="00DA5002" w:rsidP="6A33F638">
            <w:pPr>
              <w:rPr>
                <w:sz w:val="18"/>
                <w:szCs w:val="18"/>
              </w:rPr>
            </w:pPr>
            <w:r w:rsidRPr="5EC574FF">
              <w:rPr>
                <w:sz w:val="18"/>
                <w:szCs w:val="18"/>
              </w:rPr>
              <w:t xml:space="preserve">One surgery reported that a limitation was the identification of </w:t>
            </w:r>
            <w:r w:rsidR="005D7E06" w:rsidRPr="5EC574FF">
              <w:rPr>
                <w:sz w:val="18"/>
                <w:szCs w:val="18"/>
              </w:rPr>
              <w:t>patients and</w:t>
            </w:r>
            <w:r w:rsidRPr="5EC574FF">
              <w:rPr>
                <w:sz w:val="18"/>
                <w:szCs w:val="18"/>
              </w:rPr>
              <w:t xml:space="preserve"> reported that those on Electronic Reporting Dispensing (eRD) were not as easily identified </w:t>
            </w:r>
            <w:r w:rsidR="005D7E06" w:rsidRPr="5EC574FF">
              <w:rPr>
                <w:sz w:val="18"/>
                <w:szCs w:val="18"/>
              </w:rPr>
              <w:t>in the search process.</w:t>
            </w:r>
          </w:p>
          <w:p w14:paraId="3468AA61" w14:textId="5A7E66F0" w:rsidR="199674C4" w:rsidRDefault="199674C4" w:rsidP="199674C4">
            <w:pPr>
              <w:rPr>
                <w:b/>
                <w:sz w:val="18"/>
                <w:szCs w:val="18"/>
              </w:rPr>
            </w:pPr>
          </w:p>
        </w:tc>
      </w:tr>
      <w:tr w:rsidR="199674C4" w14:paraId="20ED6951" w14:textId="77777777" w:rsidTr="199674C4">
        <w:tc>
          <w:tcPr>
            <w:tcW w:w="4508" w:type="dxa"/>
          </w:tcPr>
          <w:p w14:paraId="67E1946C" w14:textId="2018F162" w:rsidR="00CA593A" w:rsidRDefault="00CA593A" w:rsidP="05099D62">
            <w:pPr>
              <w:rPr>
                <w:sz w:val="18"/>
                <w:szCs w:val="18"/>
              </w:rPr>
            </w:pPr>
            <w:r w:rsidRPr="0F5FE324">
              <w:rPr>
                <w:sz w:val="18"/>
                <w:szCs w:val="18"/>
              </w:rPr>
              <w:t>The a</w:t>
            </w:r>
            <w:r w:rsidR="00DF05D6" w:rsidRPr="0F5FE324">
              <w:rPr>
                <w:sz w:val="18"/>
                <w:szCs w:val="18"/>
              </w:rPr>
              <w:t xml:space="preserve">udit highlighted </w:t>
            </w:r>
            <w:r w:rsidR="00DF05D6" w:rsidRPr="09F2129A">
              <w:rPr>
                <w:sz w:val="18"/>
                <w:szCs w:val="18"/>
              </w:rPr>
              <w:t>parameter</w:t>
            </w:r>
            <w:r w:rsidRPr="09F2129A">
              <w:rPr>
                <w:sz w:val="18"/>
                <w:szCs w:val="18"/>
              </w:rPr>
              <w:t>s</w:t>
            </w:r>
            <w:r w:rsidR="00DF05D6" w:rsidRPr="0F5FE324">
              <w:rPr>
                <w:sz w:val="18"/>
                <w:szCs w:val="18"/>
              </w:rPr>
              <w:t xml:space="preserve"> such as weight (required to calculate CrCl) and U&amp;Es were not recorded on the patient’s record and so there was additional information required before the practices could properly assess if patients were on the correct dose. </w:t>
            </w:r>
            <w:r w:rsidR="006143E3" w:rsidRPr="0F5FE324">
              <w:rPr>
                <w:sz w:val="18"/>
                <w:szCs w:val="18"/>
              </w:rPr>
              <w:t xml:space="preserve">Many </w:t>
            </w:r>
            <w:r w:rsidR="006143E3" w:rsidRPr="4AF710E1">
              <w:rPr>
                <w:sz w:val="18"/>
                <w:szCs w:val="18"/>
              </w:rPr>
              <w:t>practices</w:t>
            </w:r>
            <w:r w:rsidR="006143E3" w:rsidRPr="0F5FE324">
              <w:rPr>
                <w:sz w:val="18"/>
                <w:szCs w:val="18"/>
              </w:rPr>
              <w:t xml:space="preserve"> surgeries reported</w:t>
            </w:r>
            <w:r w:rsidR="00646125" w:rsidRPr="0F5FE324">
              <w:rPr>
                <w:sz w:val="18"/>
                <w:szCs w:val="18"/>
              </w:rPr>
              <w:t xml:space="preserve"> robust </w:t>
            </w:r>
            <w:r w:rsidR="006143E3" w:rsidRPr="0F5FE324">
              <w:rPr>
                <w:sz w:val="18"/>
                <w:szCs w:val="18"/>
              </w:rPr>
              <w:t>new system</w:t>
            </w:r>
            <w:r w:rsidR="00646125" w:rsidRPr="0F5FE324">
              <w:rPr>
                <w:sz w:val="18"/>
                <w:szCs w:val="18"/>
              </w:rPr>
              <w:t>s</w:t>
            </w:r>
            <w:r w:rsidR="006143E3" w:rsidRPr="0F5FE324">
              <w:rPr>
                <w:sz w:val="18"/>
                <w:szCs w:val="18"/>
              </w:rPr>
              <w:t xml:space="preserve"> in place to ensure weight was recorded and was r</w:t>
            </w:r>
            <w:r w:rsidR="00646125" w:rsidRPr="0F5FE324">
              <w:rPr>
                <w:sz w:val="18"/>
                <w:szCs w:val="18"/>
              </w:rPr>
              <w:t>elatively recent and that bloods were taken to ensure creatine checks could be performed.</w:t>
            </w:r>
          </w:p>
          <w:p w14:paraId="0B33BF71" w14:textId="24526B98" w:rsidR="199674C4" w:rsidRDefault="199674C4" w:rsidP="199674C4">
            <w:pPr>
              <w:rPr>
                <w:b/>
                <w:sz w:val="18"/>
                <w:szCs w:val="18"/>
              </w:rPr>
            </w:pPr>
          </w:p>
        </w:tc>
        <w:tc>
          <w:tcPr>
            <w:tcW w:w="4508" w:type="dxa"/>
          </w:tcPr>
          <w:p w14:paraId="478705E3" w14:textId="71144FEE" w:rsidR="44B2E8B9" w:rsidRDefault="44B2E8B9" w:rsidP="6A33F638">
            <w:pPr>
              <w:rPr>
                <w:sz w:val="18"/>
                <w:szCs w:val="18"/>
              </w:rPr>
            </w:pPr>
            <w:r w:rsidRPr="02178B07">
              <w:rPr>
                <w:sz w:val="18"/>
                <w:szCs w:val="18"/>
              </w:rPr>
              <w:t xml:space="preserve">The audit gave advice on calculating CrCl; </w:t>
            </w:r>
            <w:r w:rsidR="04B4528D" w:rsidRPr="02178B07">
              <w:rPr>
                <w:sz w:val="18"/>
                <w:szCs w:val="18"/>
              </w:rPr>
              <w:t>however,</w:t>
            </w:r>
            <w:r w:rsidRPr="02178B07">
              <w:rPr>
                <w:sz w:val="18"/>
                <w:szCs w:val="18"/>
              </w:rPr>
              <w:t xml:space="preserve"> no advice was given around the use of </w:t>
            </w:r>
            <w:r w:rsidR="04B4528D" w:rsidRPr="02178B07">
              <w:rPr>
                <w:sz w:val="18"/>
                <w:szCs w:val="18"/>
              </w:rPr>
              <w:t xml:space="preserve">Ideal Body weight </w:t>
            </w:r>
            <w:r w:rsidR="00CA593A" w:rsidRPr="02178B07">
              <w:rPr>
                <w:sz w:val="18"/>
                <w:szCs w:val="18"/>
              </w:rPr>
              <w:t xml:space="preserve">to calculate </w:t>
            </w:r>
            <w:r w:rsidR="04B4528D" w:rsidRPr="02178B07">
              <w:rPr>
                <w:sz w:val="18"/>
                <w:szCs w:val="18"/>
              </w:rPr>
              <w:t xml:space="preserve">CrCl </w:t>
            </w:r>
            <w:r w:rsidR="00CA593A" w:rsidRPr="02178B07">
              <w:rPr>
                <w:sz w:val="18"/>
                <w:szCs w:val="18"/>
              </w:rPr>
              <w:t xml:space="preserve">in patients with a BMI &gt;30, </w:t>
            </w:r>
            <w:r w:rsidR="04B4528D" w:rsidRPr="02178B07">
              <w:rPr>
                <w:sz w:val="18"/>
                <w:szCs w:val="18"/>
              </w:rPr>
              <w:t>as adipose has limited influence on drug handling</w:t>
            </w:r>
            <w:r w:rsidR="04B4528D" w:rsidRPr="02178B07">
              <w:rPr>
                <w:sz w:val="18"/>
                <w:szCs w:val="18"/>
                <w:vertAlign w:val="superscript"/>
              </w:rPr>
              <w:t xml:space="preserve"> [4]</w:t>
            </w:r>
            <w:r w:rsidR="04B4528D" w:rsidRPr="02178B07">
              <w:rPr>
                <w:sz w:val="18"/>
                <w:szCs w:val="18"/>
              </w:rPr>
              <w:t xml:space="preserve">. </w:t>
            </w:r>
            <w:r w:rsidR="011E4ECF" w:rsidRPr="02178B07">
              <w:rPr>
                <w:sz w:val="18"/>
                <w:szCs w:val="18"/>
              </w:rPr>
              <w:t>Similarly,</w:t>
            </w:r>
            <w:r w:rsidR="000C7C8E" w:rsidRPr="02178B07">
              <w:rPr>
                <w:sz w:val="18"/>
                <w:szCs w:val="18"/>
              </w:rPr>
              <w:t xml:space="preserve"> </w:t>
            </w:r>
            <w:r w:rsidR="00CA593A" w:rsidRPr="02178B07">
              <w:rPr>
                <w:sz w:val="18"/>
                <w:szCs w:val="18"/>
              </w:rPr>
              <w:t xml:space="preserve">some </w:t>
            </w:r>
            <w:r w:rsidR="000C7C8E" w:rsidRPr="02178B07">
              <w:rPr>
                <w:sz w:val="18"/>
                <w:szCs w:val="18"/>
              </w:rPr>
              <w:t>GP practices also highlighted the need to review patients with body weight &gt;120kg due to insufficient evidence of DOACs in these groups.</w:t>
            </w:r>
          </w:p>
          <w:p w14:paraId="7D516884" w14:textId="35B0FD52" w:rsidR="199674C4" w:rsidRDefault="199674C4" w:rsidP="199674C4">
            <w:pPr>
              <w:rPr>
                <w:b/>
                <w:sz w:val="18"/>
                <w:szCs w:val="18"/>
              </w:rPr>
            </w:pPr>
          </w:p>
        </w:tc>
      </w:tr>
    </w:tbl>
    <w:p w14:paraId="7FF8A818" w14:textId="74544FB4" w:rsidR="00DF05D6" w:rsidRPr="00B4099E" w:rsidRDefault="00DF05D6" w:rsidP="00646125">
      <w:pPr>
        <w:pStyle w:val="ListParagraph"/>
      </w:pPr>
    </w:p>
    <w:p w14:paraId="34F17AD0" w14:textId="246809D2" w:rsidR="000767C8" w:rsidRDefault="000767C8">
      <w:pPr>
        <w:rPr>
          <w:b/>
          <w:sz w:val="24"/>
          <w:szCs w:val="24"/>
        </w:rPr>
      </w:pPr>
      <w:r w:rsidRPr="309AE60D">
        <w:rPr>
          <w:b/>
          <w:bCs/>
          <w:sz w:val="24"/>
          <w:szCs w:val="24"/>
        </w:rPr>
        <w:t>Conclusions</w:t>
      </w:r>
    </w:p>
    <w:p w14:paraId="531DE501" w14:textId="34EC6F63" w:rsidR="00B4099E" w:rsidRDefault="00CB15A0" w:rsidP="17D6C91A">
      <w:r>
        <w:t>Dorset is an outlier in DOAC prescribing accuracy nationally. The audit standards were not met of 100% accuracy of monitoring and dosing.</w:t>
      </w:r>
    </w:p>
    <w:p w14:paraId="395311C5" w14:textId="4A9045A5" w:rsidR="00B4099E" w:rsidRDefault="009B6FA4" w:rsidP="17D6C91A">
      <w:r>
        <w:t>Dosing inaccuracy rates are at 20% and there is a lack of appropriate renal function monitoring for patients. There are pockets of good practice where dosing accuracy is higher. Anecdotally those PCNs have implemented safety management systems in collaboration with practice management and PCN pharmacy teams. It is vital that shared learning is developed between practices and networks to disseminate what is working well in those areas.</w:t>
      </w:r>
      <w:r w:rsidR="17D6C91A">
        <w:t xml:space="preserve"> </w:t>
      </w:r>
    </w:p>
    <w:p w14:paraId="0B7BD194" w14:textId="2FBFA5C1" w:rsidR="00132554" w:rsidRDefault="00132554">
      <w:r>
        <w:br w:type="page"/>
      </w:r>
    </w:p>
    <w:p w14:paraId="66469CBA" w14:textId="77777777" w:rsidR="001D4010" w:rsidRDefault="001D4010"/>
    <w:p w14:paraId="60C0B784" w14:textId="77241A91" w:rsidR="001D4010" w:rsidRDefault="001D4010" w:rsidP="17D6C91A">
      <w:pPr>
        <w:rPr>
          <w:b/>
          <w:bCs/>
          <w:sz w:val="24"/>
          <w:szCs w:val="24"/>
        </w:rPr>
      </w:pPr>
      <w:r w:rsidRPr="17D6C91A">
        <w:rPr>
          <w:b/>
          <w:bCs/>
          <w:sz w:val="24"/>
          <w:szCs w:val="24"/>
        </w:rPr>
        <w:t>Recommendations</w:t>
      </w:r>
    </w:p>
    <w:p w14:paraId="6A3C2793" w14:textId="3906015F" w:rsidR="001D4010" w:rsidRDefault="001D4010" w:rsidP="17D6C91A">
      <w:pPr>
        <w:rPr>
          <w:sz w:val="24"/>
          <w:szCs w:val="24"/>
        </w:rPr>
      </w:pPr>
      <w:r w:rsidRPr="17D6C91A">
        <w:rPr>
          <w:sz w:val="24"/>
          <w:szCs w:val="24"/>
        </w:rPr>
        <w:t xml:space="preserve">The clinical commissioning group has provisionally reviewed the audit </w:t>
      </w:r>
      <w:r w:rsidR="00A064A1" w:rsidRPr="17D6C91A">
        <w:rPr>
          <w:sz w:val="24"/>
          <w:szCs w:val="24"/>
        </w:rPr>
        <w:t>report and</w:t>
      </w:r>
      <w:r w:rsidRPr="17D6C91A">
        <w:rPr>
          <w:sz w:val="24"/>
          <w:szCs w:val="24"/>
        </w:rPr>
        <w:t xml:space="preserve"> recognise the drawbacks of the </w:t>
      </w:r>
      <w:r w:rsidR="00A064A1" w:rsidRPr="17D6C91A">
        <w:rPr>
          <w:sz w:val="24"/>
          <w:szCs w:val="24"/>
        </w:rPr>
        <w:t>study and audit design. Consequently, the following recommendations were made:</w:t>
      </w:r>
    </w:p>
    <w:tbl>
      <w:tblPr>
        <w:tblStyle w:val="TableGrid"/>
        <w:tblW w:w="0" w:type="auto"/>
        <w:tblLayout w:type="fixed"/>
        <w:tblLook w:val="06A0" w:firstRow="1" w:lastRow="0" w:firstColumn="1" w:lastColumn="0" w:noHBand="1" w:noVBand="1"/>
      </w:tblPr>
      <w:tblGrid>
        <w:gridCol w:w="9015"/>
      </w:tblGrid>
      <w:tr w:rsidR="17D6C91A" w14:paraId="602D23A9" w14:textId="77777777" w:rsidTr="36CBBB18">
        <w:tc>
          <w:tcPr>
            <w:tcW w:w="9015" w:type="dxa"/>
          </w:tcPr>
          <w:p w14:paraId="63B9E0ED" w14:textId="629AAD0D" w:rsidR="00A064A1" w:rsidRDefault="00A064A1" w:rsidP="17D6C91A">
            <w:pPr>
              <w:pStyle w:val="ListParagraph"/>
              <w:numPr>
                <w:ilvl w:val="0"/>
                <w:numId w:val="6"/>
              </w:numPr>
              <w:rPr>
                <w:rFonts w:eastAsiaTheme="minorEastAsia"/>
                <w:sz w:val="24"/>
                <w:szCs w:val="24"/>
              </w:rPr>
            </w:pPr>
            <w:r w:rsidRPr="17D6C91A">
              <w:rPr>
                <w:sz w:val="24"/>
                <w:szCs w:val="24"/>
              </w:rPr>
              <w:t>Best Practice Medicines Quality Procedures need to be shared within PCNs and in the system to automate patient recall and assessment in place to safety net patients in the future.</w:t>
            </w:r>
          </w:p>
          <w:p w14:paraId="129FC33E" w14:textId="4673A3B7" w:rsidR="17D6C91A" w:rsidRDefault="17D6C91A" w:rsidP="17D6C91A">
            <w:pPr>
              <w:rPr>
                <w:sz w:val="24"/>
                <w:szCs w:val="24"/>
              </w:rPr>
            </w:pPr>
          </w:p>
          <w:p w14:paraId="1AF3C066" w14:textId="603933C0" w:rsidR="17D6C91A" w:rsidRDefault="17D6C91A" w:rsidP="71BB87CC">
            <w:pPr>
              <w:pStyle w:val="ListParagraph"/>
              <w:numPr>
                <w:ilvl w:val="0"/>
                <w:numId w:val="6"/>
              </w:numPr>
              <w:rPr>
                <w:rFonts w:eastAsiaTheme="minorEastAsia"/>
                <w:sz w:val="24"/>
                <w:szCs w:val="24"/>
              </w:rPr>
            </w:pPr>
            <w:r w:rsidRPr="71BB87CC">
              <w:rPr>
                <w:sz w:val="24"/>
                <w:szCs w:val="24"/>
              </w:rPr>
              <w:t xml:space="preserve">Simplification of DOAC prescribing in AF may reduce inaccuracy in dosing </w:t>
            </w:r>
            <w:r w:rsidR="00132554" w:rsidRPr="71BB87CC">
              <w:rPr>
                <w:sz w:val="24"/>
                <w:szCs w:val="24"/>
              </w:rPr>
              <w:t>accuracy due to differing dosing adjustment criteria.</w:t>
            </w:r>
            <w:r w:rsidRPr="71BB87CC">
              <w:rPr>
                <w:sz w:val="24"/>
                <w:szCs w:val="24"/>
              </w:rPr>
              <w:t xml:space="preserve"> </w:t>
            </w:r>
          </w:p>
          <w:p w14:paraId="61AD0DA0" w14:textId="359DD213" w:rsidR="71BB87CC" w:rsidRDefault="71BB87CC" w:rsidP="71BB87CC">
            <w:pPr>
              <w:rPr>
                <w:sz w:val="24"/>
                <w:szCs w:val="24"/>
              </w:rPr>
            </w:pPr>
          </w:p>
          <w:p w14:paraId="17C38DA9" w14:textId="24951D49" w:rsidR="005E719A" w:rsidRDefault="616FE707" w:rsidP="71BB87CC">
            <w:pPr>
              <w:pStyle w:val="ListParagraph"/>
              <w:numPr>
                <w:ilvl w:val="0"/>
                <w:numId w:val="6"/>
              </w:numPr>
              <w:rPr>
                <w:rFonts w:eastAsiaTheme="minorEastAsia"/>
                <w:sz w:val="24"/>
                <w:szCs w:val="24"/>
              </w:rPr>
            </w:pPr>
            <w:r w:rsidRPr="71BB87CC">
              <w:rPr>
                <w:sz w:val="24"/>
                <w:szCs w:val="24"/>
              </w:rPr>
              <w:t xml:space="preserve">Explore development of </w:t>
            </w:r>
            <w:r w:rsidR="4346DE06" w:rsidRPr="71BB87CC">
              <w:rPr>
                <w:sz w:val="24"/>
                <w:szCs w:val="24"/>
              </w:rPr>
              <w:t>an</w:t>
            </w:r>
            <w:r w:rsidRPr="71BB87CC">
              <w:rPr>
                <w:sz w:val="24"/>
                <w:szCs w:val="24"/>
              </w:rPr>
              <w:t xml:space="preserve"> automated calculation</w:t>
            </w:r>
            <w:r w:rsidR="4346DE06" w:rsidRPr="71BB87CC">
              <w:rPr>
                <w:sz w:val="24"/>
                <w:szCs w:val="24"/>
              </w:rPr>
              <w:t>/function</w:t>
            </w:r>
            <w:r w:rsidRPr="71BB87CC">
              <w:rPr>
                <w:sz w:val="24"/>
                <w:szCs w:val="24"/>
              </w:rPr>
              <w:t xml:space="preserve"> </w:t>
            </w:r>
            <w:r w:rsidR="4346DE06" w:rsidRPr="71BB87CC">
              <w:rPr>
                <w:sz w:val="24"/>
                <w:szCs w:val="24"/>
              </w:rPr>
              <w:t>that translate</w:t>
            </w:r>
            <w:r w:rsidR="4A811470" w:rsidRPr="71BB87CC">
              <w:rPr>
                <w:sz w:val="24"/>
                <w:szCs w:val="24"/>
              </w:rPr>
              <w:t xml:space="preserve">s </w:t>
            </w:r>
            <w:r w:rsidR="4346DE06" w:rsidRPr="71BB87CC">
              <w:rPr>
                <w:sz w:val="24"/>
                <w:szCs w:val="24"/>
              </w:rPr>
              <w:t>creatinine to CrCl for patients who have had their weight calculated in the last 12 months to support accurate assessment.</w:t>
            </w:r>
          </w:p>
          <w:p w14:paraId="6D3B9D6D" w14:textId="4D5C447A" w:rsidR="17D6C91A" w:rsidRDefault="17D6C91A" w:rsidP="17D6C91A">
            <w:pPr>
              <w:rPr>
                <w:sz w:val="24"/>
                <w:szCs w:val="24"/>
              </w:rPr>
            </w:pPr>
          </w:p>
          <w:p w14:paraId="3288E8F1" w14:textId="0647D6EE" w:rsidR="00B96F46" w:rsidRDefault="0EE4C3D6" w:rsidP="71BB87CC">
            <w:pPr>
              <w:pStyle w:val="ListParagraph"/>
              <w:numPr>
                <w:ilvl w:val="0"/>
                <w:numId w:val="6"/>
              </w:numPr>
              <w:rPr>
                <w:rFonts w:eastAsiaTheme="minorEastAsia"/>
                <w:sz w:val="24"/>
                <w:szCs w:val="24"/>
              </w:rPr>
            </w:pPr>
            <w:r w:rsidRPr="36CBBB18">
              <w:rPr>
                <w:sz w:val="24"/>
                <w:szCs w:val="24"/>
              </w:rPr>
              <w:t>E</w:t>
            </w:r>
            <w:r w:rsidR="7E3936E3" w:rsidRPr="36CBBB18">
              <w:rPr>
                <w:sz w:val="24"/>
                <w:szCs w:val="24"/>
              </w:rPr>
              <w:t xml:space="preserve">RD prescriptions should be aligned with their blood tests requirements (e.g., in those with 6 monthly blood tests, there ERD should be set up for 6 monthly scripts to be signed of after there blood tests are reviewed) this will help to reduce patients being missed from SystmOne searches. </w:t>
            </w:r>
          </w:p>
          <w:p w14:paraId="797E43A0" w14:textId="74AC5DE6" w:rsidR="17D6C91A" w:rsidRDefault="17D6C91A" w:rsidP="17D6C91A">
            <w:pPr>
              <w:rPr>
                <w:sz w:val="24"/>
                <w:szCs w:val="24"/>
              </w:rPr>
            </w:pPr>
          </w:p>
          <w:p w14:paraId="4089AC7D" w14:textId="502E6D99" w:rsidR="17D6C91A" w:rsidRDefault="17D6C91A" w:rsidP="71BB87CC">
            <w:pPr>
              <w:pStyle w:val="ListParagraph"/>
              <w:numPr>
                <w:ilvl w:val="0"/>
                <w:numId w:val="6"/>
              </w:numPr>
              <w:rPr>
                <w:rFonts w:eastAsiaTheme="minorEastAsia"/>
                <w:sz w:val="24"/>
                <w:szCs w:val="24"/>
              </w:rPr>
            </w:pPr>
            <w:r w:rsidRPr="71BB87CC">
              <w:rPr>
                <w:sz w:val="24"/>
                <w:szCs w:val="24"/>
              </w:rPr>
              <w:t xml:space="preserve">Revise audit criteria and collection tools to clarify interpretation of time frame within the data set for correct dosing based on creatinine clearances retrospectively calculated based on creatinine results within the last 12 months. </w:t>
            </w:r>
            <w:r w:rsidR="0EE4C3D6" w:rsidRPr="71BB87CC">
              <w:rPr>
                <w:sz w:val="24"/>
                <w:szCs w:val="24"/>
              </w:rPr>
              <w:t>There should also be a note about reviewing patients with a body weight &gt;120kg as in this cohort of patients DOACs are not recommended.</w:t>
            </w:r>
          </w:p>
          <w:p w14:paraId="1F8B242E" w14:textId="100962F3" w:rsidR="17D6C91A" w:rsidRDefault="17D6C91A" w:rsidP="17D6C91A">
            <w:pPr>
              <w:rPr>
                <w:sz w:val="24"/>
                <w:szCs w:val="24"/>
              </w:rPr>
            </w:pPr>
          </w:p>
          <w:p w14:paraId="615C831A" w14:textId="6D57D3DD" w:rsidR="00EF3E6D" w:rsidRDefault="4CD1BCA8" w:rsidP="71BB87CC">
            <w:pPr>
              <w:pStyle w:val="ListParagraph"/>
              <w:numPr>
                <w:ilvl w:val="0"/>
                <w:numId w:val="6"/>
              </w:numPr>
              <w:rPr>
                <w:rFonts w:eastAsiaTheme="minorEastAsia"/>
                <w:sz w:val="24"/>
                <w:szCs w:val="24"/>
              </w:rPr>
            </w:pPr>
            <w:r w:rsidRPr="71BB87CC">
              <w:rPr>
                <w:sz w:val="24"/>
                <w:szCs w:val="24"/>
              </w:rPr>
              <w:t xml:space="preserve">Re-audit </w:t>
            </w:r>
            <w:r w:rsidR="00132554" w:rsidRPr="71BB87CC">
              <w:rPr>
                <w:sz w:val="24"/>
                <w:szCs w:val="24"/>
              </w:rPr>
              <w:t>compliance in</w:t>
            </w:r>
            <w:r w:rsidRPr="71BB87CC">
              <w:rPr>
                <w:sz w:val="24"/>
                <w:szCs w:val="24"/>
              </w:rPr>
              <w:t xml:space="preserve"> 2023 to assess improvement.</w:t>
            </w:r>
          </w:p>
          <w:p w14:paraId="3D93C3B7" w14:textId="7997C0EE" w:rsidR="17D6C91A" w:rsidRDefault="17D6C91A" w:rsidP="17D6C91A">
            <w:pPr>
              <w:rPr>
                <w:sz w:val="24"/>
                <w:szCs w:val="24"/>
              </w:rPr>
            </w:pPr>
          </w:p>
        </w:tc>
      </w:tr>
    </w:tbl>
    <w:p w14:paraId="042E7C79" w14:textId="3551FC17" w:rsidR="17D6C91A" w:rsidRDefault="17D6C91A" w:rsidP="17D6C91A"/>
    <w:p w14:paraId="7455FB73" w14:textId="4F94D56B" w:rsidR="009D7EF6" w:rsidRDefault="009D7EF6">
      <w:pPr>
        <w:rPr>
          <w:b/>
          <w:sz w:val="24"/>
          <w:szCs w:val="24"/>
        </w:rPr>
      </w:pPr>
      <w:r w:rsidRPr="27C90EB7">
        <w:rPr>
          <w:b/>
          <w:sz w:val="24"/>
          <w:szCs w:val="24"/>
        </w:rPr>
        <w:t>References</w:t>
      </w:r>
    </w:p>
    <w:p w14:paraId="3D481455" w14:textId="4CB1DAE6" w:rsidR="00981E56" w:rsidRPr="00456FA9" w:rsidRDefault="009D7EF6">
      <w:pPr>
        <w:rPr>
          <w:rStyle w:val="Hyperlink"/>
          <w:color w:val="auto"/>
          <w:u w:val="none"/>
        </w:rPr>
      </w:pPr>
      <w:r w:rsidRPr="00F32366">
        <w:t>[1]</w:t>
      </w:r>
      <w:r w:rsidR="00F32366" w:rsidRPr="00F32366">
        <w:t xml:space="preserve"> GOV.UK</w:t>
      </w:r>
      <w:r w:rsidR="00F32366">
        <w:t xml:space="preserve">. </w:t>
      </w:r>
      <w:r w:rsidR="00F32366" w:rsidRPr="00F32366">
        <w:rPr>
          <w:rFonts w:eastAsia="Times New Roman" w:cstheme="minorHAnsi"/>
          <w:color w:val="0B0C0C"/>
          <w:kern w:val="36"/>
          <w:lang w:eastAsia="en-GB"/>
        </w:rPr>
        <w:t>Direct-acting oral anticoagulants (DOACs): reminder of bleeding risk, including availability of reversal agents</w:t>
      </w:r>
      <w:r w:rsidR="00F32366">
        <w:rPr>
          <w:rFonts w:eastAsia="Times New Roman" w:cstheme="minorHAnsi"/>
          <w:color w:val="0B0C0C"/>
          <w:kern w:val="36"/>
          <w:lang w:eastAsia="en-GB"/>
        </w:rPr>
        <w:t xml:space="preserve"> [Internet].</w:t>
      </w:r>
      <w:r w:rsidR="00456FA9">
        <w:rPr>
          <w:rFonts w:eastAsia="Times New Roman" w:cstheme="minorHAnsi"/>
          <w:color w:val="0B0C0C"/>
          <w:kern w:val="36"/>
          <w:lang w:eastAsia="en-GB"/>
        </w:rPr>
        <w:t xml:space="preserve"> MHRA;2020. Avaliable from: </w:t>
      </w:r>
      <w:hyperlink w:history="1">
        <w:r w:rsidR="00456FA9" w:rsidRPr="00B9660B">
          <w:rPr>
            <w:rStyle w:val="Hyperlink"/>
          </w:rPr>
          <w:t>Direct-acting oral anticoagulants (DOACs): reminder of bleeding risk, including availability of reversal agents - GOV.UK (www.gov.uk)</w:t>
        </w:r>
      </w:hyperlink>
    </w:p>
    <w:p w14:paraId="7BE25887" w14:textId="459675E6" w:rsidR="00981E56" w:rsidRDefault="00981E56">
      <w:pPr>
        <w:rPr>
          <w:rStyle w:val="Hyperlink"/>
          <w:color w:val="auto"/>
          <w:u w:val="none"/>
        </w:rPr>
      </w:pPr>
      <w:r>
        <w:rPr>
          <w:rStyle w:val="Hyperlink"/>
          <w:color w:val="auto"/>
          <w:u w:val="none"/>
        </w:rPr>
        <w:t>[2]</w:t>
      </w:r>
      <w:r w:rsidR="00456FA9">
        <w:rPr>
          <w:rStyle w:val="Hyperlink"/>
          <w:color w:val="auto"/>
          <w:u w:val="none"/>
        </w:rPr>
        <w:t xml:space="preserve"> Ingram, S. Primary Care Medicines Optimisation Audits Dorset CCG 2018-9. Dorset CCG: 2019.</w:t>
      </w:r>
      <w:r>
        <w:rPr>
          <w:rStyle w:val="Hyperlink"/>
          <w:color w:val="auto"/>
          <w:u w:val="none"/>
        </w:rPr>
        <w:t xml:space="preserve"> </w:t>
      </w:r>
    </w:p>
    <w:p w14:paraId="591D82F2" w14:textId="2377A7D9" w:rsidR="00B56C8B" w:rsidRPr="00981E56" w:rsidRDefault="00392047" w:rsidP="17D6C91A">
      <w:pPr>
        <w:rPr>
          <w:rStyle w:val="Hyperlink"/>
          <w:color w:val="auto"/>
          <w:u w:val="none"/>
        </w:rPr>
      </w:pPr>
      <w:r w:rsidRPr="17D6C91A">
        <w:rPr>
          <w:rStyle w:val="Hyperlink"/>
          <w:color w:val="auto"/>
          <w:u w:val="none"/>
        </w:rPr>
        <w:t>[3]</w:t>
      </w:r>
      <w:r w:rsidR="00456FA9" w:rsidRPr="17D6C91A">
        <w:rPr>
          <w:rStyle w:val="Hyperlink"/>
          <w:color w:val="auto"/>
          <w:u w:val="none"/>
        </w:rPr>
        <w:t xml:space="preserve"> </w:t>
      </w:r>
      <w:r w:rsidR="17D6C91A" w:rsidRPr="17D6C91A">
        <w:rPr>
          <w:rStyle w:val="Hyperlink"/>
          <w:color w:val="auto"/>
          <w:u w:val="none"/>
        </w:rPr>
        <w:t>Chief Pharmaceutical Officer</w:t>
      </w:r>
      <w:r w:rsidR="00EF506C">
        <w:rPr>
          <w:rStyle w:val="Hyperlink"/>
          <w:color w:val="auto"/>
          <w:u w:val="none"/>
        </w:rPr>
        <w:t xml:space="preserve"> Webinar Feb 2022.</w:t>
      </w:r>
    </w:p>
    <w:p w14:paraId="6EE23628" w14:textId="3C2AFC26" w:rsidR="00B56C8B" w:rsidRPr="00981E56" w:rsidRDefault="17D6C91A" w:rsidP="17D6C91A">
      <w:pPr>
        <w:rPr>
          <w:rStyle w:val="Hyperlink"/>
          <w:color w:val="auto"/>
          <w:u w:val="none"/>
        </w:rPr>
      </w:pPr>
      <w:r w:rsidRPr="71BB87CC">
        <w:rPr>
          <w:rStyle w:val="Hyperlink"/>
          <w:color w:val="auto"/>
          <w:u w:val="none"/>
        </w:rPr>
        <w:t xml:space="preserve">[4] </w:t>
      </w:r>
      <w:r w:rsidR="00FE10C8" w:rsidRPr="71BB87CC">
        <w:rPr>
          <w:rStyle w:val="Hyperlink"/>
          <w:color w:val="auto"/>
          <w:u w:val="none"/>
        </w:rPr>
        <w:t>Safer DOAC Prescribing Education Session MORAG [PowerPoint].</w:t>
      </w:r>
    </w:p>
    <w:p w14:paraId="752DFADA" w14:textId="0B437BC8" w:rsidR="71BB87CC" w:rsidRDefault="71BB87CC" w:rsidP="71BB87CC">
      <w:pPr>
        <w:pStyle w:val="Caption"/>
        <w:keepNext/>
      </w:pPr>
    </w:p>
    <w:p w14:paraId="67E1DC38" w14:textId="5F41E90B" w:rsidR="71BB87CC" w:rsidRDefault="71BB87CC" w:rsidP="71BB87CC">
      <w:pPr>
        <w:pStyle w:val="Caption"/>
        <w:keepNext/>
      </w:pPr>
    </w:p>
    <w:p w14:paraId="0234DC7C" w14:textId="608DEC79" w:rsidR="71BB87CC" w:rsidRDefault="71BB87CC" w:rsidP="71BB87CC">
      <w:pPr>
        <w:pStyle w:val="Caption"/>
        <w:keepNext/>
      </w:pPr>
    </w:p>
    <w:p w14:paraId="14C0B48A" w14:textId="479324D1" w:rsidR="008C594A" w:rsidRDefault="008C594A" w:rsidP="008C594A">
      <w:pPr>
        <w:pStyle w:val="Caption"/>
        <w:keepNext/>
      </w:pPr>
      <w:r>
        <w:t>Appen</w:t>
      </w:r>
      <w:r w:rsidR="00392047">
        <w:t>d</w:t>
      </w:r>
      <w:r>
        <w:t xml:space="preserve">ix </w:t>
      </w:r>
      <w:r>
        <w:fldChar w:fldCharType="begin"/>
      </w:r>
      <w:r>
        <w:instrText>SEQ Appendix \* ARABIC</w:instrText>
      </w:r>
      <w:r>
        <w:fldChar w:fldCharType="separate"/>
      </w:r>
      <w:r w:rsidR="00B519E3">
        <w:rPr>
          <w:noProof/>
        </w:rPr>
        <w:t>1</w:t>
      </w:r>
      <w:r>
        <w:fldChar w:fldCharType="end"/>
      </w:r>
    </w:p>
    <w:p w14:paraId="693F3A11" w14:textId="69B12C5E" w:rsidR="000767C8" w:rsidRPr="000767C8" w:rsidRDefault="000767C8" w:rsidP="000767C8">
      <w:pPr>
        <w:keepNext/>
      </w:pPr>
      <w:r>
        <w:rPr>
          <w:noProof/>
        </w:rPr>
        <w:drawing>
          <wp:inline distT="0" distB="0" distL="0" distR="0" wp14:anchorId="7BEAF95B" wp14:editId="5A1A3BD5">
            <wp:extent cx="4250181" cy="7708900"/>
            <wp:effectExtent l="0" t="0" r="0" b="635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rotWithShape="1">
                    <a:blip r:embed="rId12"/>
                    <a:srcRect l="7670" r="2228"/>
                    <a:stretch/>
                  </pic:blipFill>
                  <pic:spPr bwMode="auto">
                    <a:xfrm>
                      <a:off x="0" y="0"/>
                      <a:ext cx="4259680" cy="7726130"/>
                    </a:xfrm>
                    <a:prstGeom prst="rect">
                      <a:avLst/>
                    </a:prstGeom>
                    <a:ln>
                      <a:noFill/>
                    </a:ln>
                    <a:extLst>
                      <a:ext uri="{53640926-AAD7-44D8-BBD7-CCE9431645EC}">
                        <a14:shadowObscured xmlns:a14="http://schemas.microsoft.com/office/drawing/2010/main"/>
                      </a:ext>
                    </a:extLst>
                  </pic:spPr>
                </pic:pic>
              </a:graphicData>
            </a:graphic>
          </wp:inline>
        </w:drawing>
      </w:r>
    </w:p>
    <w:p w14:paraId="1D4DE2E6" w14:textId="1203649A" w:rsidR="000767C8" w:rsidRDefault="000767C8">
      <w:pPr>
        <w:rPr>
          <w:b/>
          <w:bCs/>
        </w:rPr>
      </w:pPr>
      <w:r w:rsidRPr="000767C8">
        <w:rPr>
          <w:noProof/>
        </w:rPr>
        <w:lastRenderedPageBreak/>
        <w:drawing>
          <wp:inline distT="0" distB="0" distL="0" distR="0" wp14:anchorId="68489560" wp14:editId="045D7FFB">
            <wp:extent cx="4895850" cy="71247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3"/>
                    <a:stretch>
                      <a:fillRect/>
                    </a:stretch>
                  </pic:blipFill>
                  <pic:spPr>
                    <a:xfrm>
                      <a:off x="0" y="0"/>
                      <a:ext cx="4895850" cy="7124700"/>
                    </a:xfrm>
                    <a:prstGeom prst="rect">
                      <a:avLst/>
                    </a:prstGeom>
                  </pic:spPr>
                </pic:pic>
              </a:graphicData>
            </a:graphic>
          </wp:inline>
        </w:drawing>
      </w:r>
    </w:p>
    <w:p w14:paraId="27372610" w14:textId="41119C44" w:rsidR="000767C8" w:rsidRDefault="000767C8">
      <w:pPr>
        <w:rPr>
          <w:b/>
          <w:bCs/>
        </w:rPr>
      </w:pPr>
    </w:p>
    <w:p w14:paraId="5BA4C4B4" w14:textId="5B1B0BB9" w:rsidR="000767C8" w:rsidRDefault="000767C8">
      <w:pPr>
        <w:rPr>
          <w:b/>
          <w:bCs/>
        </w:rPr>
      </w:pPr>
    </w:p>
    <w:p w14:paraId="379DAC59" w14:textId="36E99AA4" w:rsidR="000767C8" w:rsidRDefault="000767C8">
      <w:pPr>
        <w:rPr>
          <w:b/>
          <w:bCs/>
        </w:rPr>
      </w:pPr>
    </w:p>
    <w:p w14:paraId="3ADE43EB" w14:textId="7BE06D01" w:rsidR="000767C8" w:rsidRDefault="000767C8">
      <w:pPr>
        <w:rPr>
          <w:b/>
          <w:bCs/>
        </w:rPr>
      </w:pPr>
    </w:p>
    <w:p w14:paraId="6BC2A903" w14:textId="25DAB66D" w:rsidR="000767C8" w:rsidRDefault="000767C8">
      <w:pPr>
        <w:rPr>
          <w:b/>
          <w:bCs/>
        </w:rPr>
      </w:pPr>
    </w:p>
    <w:p w14:paraId="52954173" w14:textId="42FCA80D" w:rsidR="000767C8" w:rsidRDefault="000767C8">
      <w:pPr>
        <w:rPr>
          <w:b/>
          <w:bCs/>
        </w:rPr>
      </w:pPr>
    </w:p>
    <w:p w14:paraId="71C7DB4D" w14:textId="4CFFF055" w:rsidR="000767C8" w:rsidRDefault="000767C8">
      <w:pPr>
        <w:rPr>
          <w:b/>
          <w:bCs/>
        </w:rPr>
      </w:pPr>
      <w:r w:rsidRPr="000767C8">
        <w:rPr>
          <w:noProof/>
        </w:rPr>
        <w:lastRenderedPageBreak/>
        <w:drawing>
          <wp:inline distT="0" distB="0" distL="0" distR="0" wp14:anchorId="495443E8" wp14:editId="1992F41C">
            <wp:extent cx="4666615" cy="8547652"/>
            <wp:effectExtent l="0" t="0" r="635"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14"/>
                    <a:srcRect l="3796" r="3399" b="2758"/>
                    <a:stretch/>
                  </pic:blipFill>
                  <pic:spPr bwMode="auto">
                    <a:xfrm>
                      <a:off x="0" y="0"/>
                      <a:ext cx="4667396" cy="8549083"/>
                    </a:xfrm>
                    <a:prstGeom prst="rect">
                      <a:avLst/>
                    </a:prstGeom>
                    <a:ln>
                      <a:noFill/>
                    </a:ln>
                    <a:extLst>
                      <a:ext uri="{53640926-AAD7-44D8-BBD7-CCE9431645EC}">
                        <a14:shadowObscured xmlns:a14="http://schemas.microsoft.com/office/drawing/2010/main"/>
                      </a:ext>
                    </a:extLst>
                  </pic:spPr>
                </pic:pic>
              </a:graphicData>
            </a:graphic>
          </wp:inline>
        </w:drawing>
      </w:r>
    </w:p>
    <w:p w14:paraId="11B3D316" w14:textId="21B862CE" w:rsidR="000767C8" w:rsidRDefault="000767C8">
      <w:pPr>
        <w:rPr>
          <w:b/>
          <w:bCs/>
        </w:rPr>
      </w:pPr>
    </w:p>
    <w:p w14:paraId="46CD001F" w14:textId="187D6726" w:rsidR="008C594A" w:rsidRDefault="008C594A" w:rsidP="008C594A">
      <w:pPr>
        <w:pStyle w:val="Caption"/>
        <w:keepNext/>
      </w:pPr>
      <w:r>
        <w:lastRenderedPageBreak/>
        <w:t xml:space="preserve">Appendix </w:t>
      </w:r>
      <w:r>
        <w:fldChar w:fldCharType="begin"/>
      </w:r>
      <w:r>
        <w:instrText>SEQ Appendix \* ARABIC</w:instrText>
      </w:r>
      <w:r>
        <w:fldChar w:fldCharType="separate"/>
      </w:r>
      <w:r w:rsidR="00B519E3">
        <w:rPr>
          <w:noProof/>
        </w:rPr>
        <w:t>2</w:t>
      </w:r>
      <w:r>
        <w:fldChar w:fldCharType="end"/>
      </w:r>
    </w:p>
    <w:p w14:paraId="39B32CE9" w14:textId="3113A2E8" w:rsidR="000767C8" w:rsidRPr="000767C8" w:rsidRDefault="008C594A">
      <w:pPr>
        <w:rPr>
          <w:b/>
          <w:bCs/>
        </w:rPr>
      </w:pPr>
      <w:r w:rsidRPr="008C594A">
        <w:rPr>
          <w:noProof/>
        </w:rPr>
        <w:drawing>
          <wp:inline distT="0" distB="0" distL="0" distR="0" wp14:anchorId="595D7A24" wp14:editId="46DEF3B0">
            <wp:extent cx="4102424" cy="8298787"/>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5"/>
                    <a:stretch>
                      <a:fillRect/>
                    </a:stretch>
                  </pic:blipFill>
                  <pic:spPr>
                    <a:xfrm>
                      <a:off x="0" y="0"/>
                      <a:ext cx="4108354" cy="8310784"/>
                    </a:xfrm>
                    <a:prstGeom prst="rect">
                      <a:avLst/>
                    </a:prstGeom>
                  </pic:spPr>
                </pic:pic>
              </a:graphicData>
            </a:graphic>
          </wp:inline>
        </w:drawing>
      </w:r>
    </w:p>
    <w:sectPr w:rsidR="000767C8" w:rsidRPr="00076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847"/>
    <w:multiLevelType w:val="hybridMultilevel"/>
    <w:tmpl w:val="6EF054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F0F17"/>
    <w:multiLevelType w:val="hybridMultilevel"/>
    <w:tmpl w:val="25B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14A16"/>
    <w:multiLevelType w:val="hybridMultilevel"/>
    <w:tmpl w:val="E12E3D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240A0"/>
    <w:multiLevelType w:val="hybridMultilevel"/>
    <w:tmpl w:val="FFFFFFFF"/>
    <w:lvl w:ilvl="0" w:tplc="D5920242">
      <w:start w:val="1"/>
      <w:numFmt w:val="decimal"/>
      <w:lvlText w:val="%1."/>
      <w:lvlJc w:val="left"/>
      <w:pPr>
        <w:ind w:left="720" w:hanging="360"/>
      </w:pPr>
    </w:lvl>
    <w:lvl w:ilvl="1" w:tplc="07D82582">
      <w:start w:val="1"/>
      <w:numFmt w:val="lowerLetter"/>
      <w:lvlText w:val="%2."/>
      <w:lvlJc w:val="left"/>
      <w:pPr>
        <w:ind w:left="1440" w:hanging="360"/>
      </w:pPr>
    </w:lvl>
    <w:lvl w:ilvl="2" w:tplc="71AC4276">
      <w:start w:val="1"/>
      <w:numFmt w:val="lowerRoman"/>
      <w:lvlText w:val="%3."/>
      <w:lvlJc w:val="right"/>
      <w:pPr>
        <w:ind w:left="2160" w:hanging="180"/>
      </w:pPr>
    </w:lvl>
    <w:lvl w:ilvl="3" w:tplc="2C48253A">
      <w:start w:val="1"/>
      <w:numFmt w:val="decimal"/>
      <w:lvlText w:val="%4."/>
      <w:lvlJc w:val="left"/>
      <w:pPr>
        <w:ind w:left="2880" w:hanging="360"/>
      </w:pPr>
    </w:lvl>
    <w:lvl w:ilvl="4" w:tplc="9AA641C8">
      <w:start w:val="1"/>
      <w:numFmt w:val="lowerLetter"/>
      <w:lvlText w:val="%5."/>
      <w:lvlJc w:val="left"/>
      <w:pPr>
        <w:ind w:left="3600" w:hanging="360"/>
      </w:pPr>
    </w:lvl>
    <w:lvl w:ilvl="5" w:tplc="280CA38E">
      <w:start w:val="1"/>
      <w:numFmt w:val="lowerRoman"/>
      <w:lvlText w:val="%6."/>
      <w:lvlJc w:val="right"/>
      <w:pPr>
        <w:ind w:left="4320" w:hanging="180"/>
      </w:pPr>
    </w:lvl>
    <w:lvl w:ilvl="6" w:tplc="00B0A9B0">
      <w:start w:val="1"/>
      <w:numFmt w:val="decimal"/>
      <w:lvlText w:val="%7."/>
      <w:lvlJc w:val="left"/>
      <w:pPr>
        <w:ind w:left="5040" w:hanging="360"/>
      </w:pPr>
    </w:lvl>
    <w:lvl w:ilvl="7" w:tplc="72F819BA">
      <w:start w:val="1"/>
      <w:numFmt w:val="lowerLetter"/>
      <w:lvlText w:val="%8."/>
      <w:lvlJc w:val="left"/>
      <w:pPr>
        <w:ind w:left="5760" w:hanging="360"/>
      </w:pPr>
    </w:lvl>
    <w:lvl w:ilvl="8" w:tplc="644628E2">
      <w:start w:val="1"/>
      <w:numFmt w:val="lowerRoman"/>
      <w:lvlText w:val="%9."/>
      <w:lvlJc w:val="right"/>
      <w:pPr>
        <w:ind w:left="6480" w:hanging="180"/>
      </w:pPr>
    </w:lvl>
  </w:abstractNum>
  <w:abstractNum w:abstractNumId="4" w15:restartNumberingAfterBreak="0">
    <w:nsid w:val="75C005B1"/>
    <w:multiLevelType w:val="hybridMultilevel"/>
    <w:tmpl w:val="FFFFFFFF"/>
    <w:lvl w:ilvl="0" w:tplc="1F5A06F2">
      <w:start w:val="1"/>
      <w:numFmt w:val="decimal"/>
      <w:lvlText w:val="%1."/>
      <w:lvlJc w:val="left"/>
      <w:pPr>
        <w:ind w:left="720" w:hanging="360"/>
      </w:pPr>
    </w:lvl>
    <w:lvl w:ilvl="1" w:tplc="DC32ED4E">
      <w:start w:val="1"/>
      <w:numFmt w:val="lowerLetter"/>
      <w:lvlText w:val="%2."/>
      <w:lvlJc w:val="left"/>
      <w:pPr>
        <w:ind w:left="1440" w:hanging="360"/>
      </w:pPr>
    </w:lvl>
    <w:lvl w:ilvl="2" w:tplc="5C0A3DBA">
      <w:start w:val="1"/>
      <w:numFmt w:val="lowerRoman"/>
      <w:lvlText w:val="%3."/>
      <w:lvlJc w:val="right"/>
      <w:pPr>
        <w:ind w:left="2160" w:hanging="180"/>
      </w:pPr>
    </w:lvl>
    <w:lvl w:ilvl="3" w:tplc="790C224E">
      <w:start w:val="1"/>
      <w:numFmt w:val="decimal"/>
      <w:lvlText w:val="%4."/>
      <w:lvlJc w:val="left"/>
      <w:pPr>
        <w:ind w:left="2880" w:hanging="360"/>
      </w:pPr>
    </w:lvl>
    <w:lvl w:ilvl="4" w:tplc="4AF2BD4C">
      <w:start w:val="1"/>
      <w:numFmt w:val="lowerLetter"/>
      <w:lvlText w:val="%5."/>
      <w:lvlJc w:val="left"/>
      <w:pPr>
        <w:ind w:left="3600" w:hanging="360"/>
      </w:pPr>
    </w:lvl>
    <w:lvl w:ilvl="5" w:tplc="82D23B02">
      <w:start w:val="1"/>
      <w:numFmt w:val="lowerRoman"/>
      <w:lvlText w:val="%6."/>
      <w:lvlJc w:val="right"/>
      <w:pPr>
        <w:ind w:left="4320" w:hanging="180"/>
      </w:pPr>
    </w:lvl>
    <w:lvl w:ilvl="6" w:tplc="33F0D8BC">
      <w:start w:val="1"/>
      <w:numFmt w:val="decimal"/>
      <w:lvlText w:val="%7."/>
      <w:lvlJc w:val="left"/>
      <w:pPr>
        <w:ind w:left="5040" w:hanging="360"/>
      </w:pPr>
    </w:lvl>
    <w:lvl w:ilvl="7" w:tplc="64244EC6">
      <w:start w:val="1"/>
      <w:numFmt w:val="lowerLetter"/>
      <w:lvlText w:val="%8."/>
      <w:lvlJc w:val="left"/>
      <w:pPr>
        <w:ind w:left="5760" w:hanging="360"/>
      </w:pPr>
    </w:lvl>
    <w:lvl w:ilvl="8" w:tplc="635678AC">
      <w:start w:val="1"/>
      <w:numFmt w:val="lowerRoman"/>
      <w:lvlText w:val="%9."/>
      <w:lvlJc w:val="right"/>
      <w:pPr>
        <w:ind w:left="6480" w:hanging="180"/>
      </w:pPr>
    </w:lvl>
  </w:abstractNum>
  <w:abstractNum w:abstractNumId="5" w15:restartNumberingAfterBreak="0">
    <w:nsid w:val="7DC26196"/>
    <w:multiLevelType w:val="hybridMultilevel"/>
    <w:tmpl w:val="1F2E8D1C"/>
    <w:lvl w:ilvl="0" w:tplc="E9B0BC28">
      <w:start w:val="1"/>
      <w:numFmt w:val="decimal"/>
      <w:lvlText w:val="%1."/>
      <w:lvlJc w:val="left"/>
      <w:pPr>
        <w:ind w:left="720" w:hanging="360"/>
      </w:pPr>
    </w:lvl>
    <w:lvl w:ilvl="1" w:tplc="F074242C">
      <w:start w:val="1"/>
      <w:numFmt w:val="lowerLetter"/>
      <w:lvlText w:val="%2."/>
      <w:lvlJc w:val="left"/>
      <w:pPr>
        <w:ind w:left="1440" w:hanging="360"/>
      </w:pPr>
    </w:lvl>
    <w:lvl w:ilvl="2" w:tplc="252094BE">
      <w:start w:val="1"/>
      <w:numFmt w:val="lowerRoman"/>
      <w:lvlText w:val="%3."/>
      <w:lvlJc w:val="right"/>
      <w:pPr>
        <w:ind w:left="2160" w:hanging="180"/>
      </w:pPr>
    </w:lvl>
    <w:lvl w:ilvl="3" w:tplc="C61CC0B4">
      <w:start w:val="1"/>
      <w:numFmt w:val="decimal"/>
      <w:lvlText w:val="%4."/>
      <w:lvlJc w:val="left"/>
      <w:pPr>
        <w:ind w:left="2880" w:hanging="360"/>
      </w:pPr>
    </w:lvl>
    <w:lvl w:ilvl="4" w:tplc="5E72D1FE">
      <w:start w:val="1"/>
      <w:numFmt w:val="lowerLetter"/>
      <w:lvlText w:val="%5."/>
      <w:lvlJc w:val="left"/>
      <w:pPr>
        <w:ind w:left="3600" w:hanging="360"/>
      </w:pPr>
    </w:lvl>
    <w:lvl w:ilvl="5" w:tplc="9B7A2042">
      <w:start w:val="1"/>
      <w:numFmt w:val="lowerRoman"/>
      <w:lvlText w:val="%6."/>
      <w:lvlJc w:val="right"/>
      <w:pPr>
        <w:ind w:left="4320" w:hanging="180"/>
      </w:pPr>
    </w:lvl>
    <w:lvl w:ilvl="6" w:tplc="0F5EFFC0">
      <w:start w:val="1"/>
      <w:numFmt w:val="decimal"/>
      <w:lvlText w:val="%7."/>
      <w:lvlJc w:val="left"/>
      <w:pPr>
        <w:ind w:left="5040" w:hanging="360"/>
      </w:pPr>
    </w:lvl>
    <w:lvl w:ilvl="7" w:tplc="0FB2996C">
      <w:start w:val="1"/>
      <w:numFmt w:val="lowerLetter"/>
      <w:lvlText w:val="%8."/>
      <w:lvlJc w:val="left"/>
      <w:pPr>
        <w:ind w:left="5760" w:hanging="360"/>
      </w:pPr>
    </w:lvl>
    <w:lvl w:ilvl="8" w:tplc="726052FE">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C8"/>
    <w:rsid w:val="00021AA9"/>
    <w:rsid w:val="00034246"/>
    <w:rsid w:val="00040D93"/>
    <w:rsid w:val="00042738"/>
    <w:rsid w:val="000517FD"/>
    <w:rsid w:val="00052788"/>
    <w:rsid w:val="00056DBE"/>
    <w:rsid w:val="00062832"/>
    <w:rsid w:val="00062A59"/>
    <w:rsid w:val="00072069"/>
    <w:rsid w:val="000767C8"/>
    <w:rsid w:val="00086171"/>
    <w:rsid w:val="000B07F4"/>
    <w:rsid w:val="000C7C8E"/>
    <w:rsid w:val="00116F2B"/>
    <w:rsid w:val="001263C0"/>
    <w:rsid w:val="00132554"/>
    <w:rsid w:val="00155020"/>
    <w:rsid w:val="00162EAB"/>
    <w:rsid w:val="00174161"/>
    <w:rsid w:val="001B1CAC"/>
    <w:rsid w:val="001B2E09"/>
    <w:rsid w:val="001D4010"/>
    <w:rsid w:val="001E0772"/>
    <w:rsid w:val="001E7529"/>
    <w:rsid w:val="001F102D"/>
    <w:rsid w:val="001F3E05"/>
    <w:rsid w:val="001F4363"/>
    <w:rsid w:val="002167A2"/>
    <w:rsid w:val="00234860"/>
    <w:rsid w:val="002464E3"/>
    <w:rsid w:val="00264518"/>
    <w:rsid w:val="00271FC3"/>
    <w:rsid w:val="00277A4B"/>
    <w:rsid w:val="0028348A"/>
    <w:rsid w:val="002968DC"/>
    <w:rsid w:val="002971D0"/>
    <w:rsid w:val="002A7109"/>
    <w:rsid w:val="002B07CA"/>
    <w:rsid w:val="002B7417"/>
    <w:rsid w:val="002D1ECD"/>
    <w:rsid w:val="002D2573"/>
    <w:rsid w:val="002D2683"/>
    <w:rsid w:val="002D46A5"/>
    <w:rsid w:val="002F10FC"/>
    <w:rsid w:val="002F68A2"/>
    <w:rsid w:val="00311A58"/>
    <w:rsid w:val="003417A3"/>
    <w:rsid w:val="00365F7B"/>
    <w:rsid w:val="00383423"/>
    <w:rsid w:val="00383CF4"/>
    <w:rsid w:val="00392047"/>
    <w:rsid w:val="00395D41"/>
    <w:rsid w:val="003A471E"/>
    <w:rsid w:val="003A7F88"/>
    <w:rsid w:val="003D1A27"/>
    <w:rsid w:val="003E4F54"/>
    <w:rsid w:val="003F1510"/>
    <w:rsid w:val="003F2949"/>
    <w:rsid w:val="00406A7F"/>
    <w:rsid w:val="00453E1B"/>
    <w:rsid w:val="00456A11"/>
    <w:rsid w:val="00456FA9"/>
    <w:rsid w:val="00466472"/>
    <w:rsid w:val="00472611"/>
    <w:rsid w:val="00492401"/>
    <w:rsid w:val="004B202B"/>
    <w:rsid w:val="004B5169"/>
    <w:rsid w:val="004C1BE4"/>
    <w:rsid w:val="004C22D8"/>
    <w:rsid w:val="004D3CE4"/>
    <w:rsid w:val="004E545F"/>
    <w:rsid w:val="004F25C8"/>
    <w:rsid w:val="00502F70"/>
    <w:rsid w:val="005346D8"/>
    <w:rsid w:val="00544889"/>
    <w:rsid w:val="00544E6A"/>
    <w:rsid w:val="00576CDD"/>
    <w:rsid w:val="00581749"/>
    <w:rsid w:val="00585DF9"/>
    <w:rsid w:val="00594A54"/>
    <w:rsid w:val="005A37B9"/>
    <w:rsid w:val="005B6D8E"/>
    <w:rsid w:val="005C35C2"/>
    <w:rsid w:val="005C7314"/>
    <w:rsid w:val="005D4343"/>
    <w:rsid w:val="005D7E06"/>
    <w:rsid w:val="005E49B7"/>
    <w:rsid w:val="005E719A"/>
    <w:rsid w:val="00601883"/>
    <w:rsid w:val="006143E3"/>
    <w:rsid w:val="00614A3B"/>
    <w:rsid w:val="00617F35"/>
    <w:rsid w:val="0062160E"/>
    <w:rsid w:val="00623FCB"/>
    <w:rsid w:val="00624ACA"/>
    <w:rsid w:val="00635EE3"/>
    <w:rsid w:val="006457BC"/>
    <w:rsid w:val="00646125"/>
    <w:rsid w:val="00661814"/>
    <w:rsid w:val="006640EB"/>
    <w:rsid w:val="0066739D"/>
    <w:rsid w:val="00670B5A"/>
    <w:rsid w:val="00676720"/>
    <w:rsid w:val="006A3537"/>
    <w:rsid w:val="006B2983"/>
    <w:rsid w:val="006E31E2"/>
    <w:rsid w:val="00711990"/>
    <w:rsid w:val="007120A9"/>
    <w:rsid w:val="00723632"/>
    <w:rsid w:val="007329F3"/>
    <w:rsid w:val="00740779"/>
    <w:rsid w:val="00756F5D"/>
    <w:rsid w:val="00761BFF"/>
    <w:rsid w:val="007701A5"/>
    <w:rsid w:val="007741CA"/>
    <w:rsid w:val="00790BEC"/>
    <w:rsid w:val="00791BC7"/>
    <w:rsid w:val="007B62F8"/>
    <w:rsid w:val="007D021C"/>
    <w:rsid w:val="007D08E3"/>
    <w:rsid w:val="007E3583"/>
    <w:rsid w:val="007E5191"/>
    <w:rsid w:val="007F1A63"/>
    <w:rsid w:val="0081532E"/>
    <w:rsid w:val="00820AAE"/>
    <w:rsid w:val="00830EB7"/>
    <w:rsid w:val="00834D35"/>
    <w:rsid w:val="00834EC4"/>
    <w:rsid w:val="008622FF"/>
    <w:rsid w:val="008670BC"/>
    <w:rsid w:val="008A1B10"/>
    <w:rsid w:val="008C022C"/>
    <w:rsid w:val="008C04ED"/>
    <w:rsid w:val="008C4026"/>
    <w:rsid w:val="008C594A"/>
    <w:rsid w:val="008F3AB6"/>
    <w:rsid w:val="0091631F"/>
    <w:rsid w:val="009204E1"/>
    <w:rsid w:val="009227B3"/>
    <w:rsid w:val="00922C63"/>
    <w:rsid w:val="0092770D"/>
    <w:rsid w:val="0095362C"/>
    <w:rsid w:val="00955737"/>
    <w:rsid w:val="00961F64"/>
    <w:rsid w:val="009647B7"/>
    <w:rsid w:val="00966705"/>
    <w:rsid w:val="00981E56"/>
    <w:rsid w:val="00992BCD"/>
    <w:rsid w:val="009964E4"/>
    <w:rsid w:val="009A2440"/>
    <w:rsid w:val="009B6FA4"/>
    <w:rsid w:val="009C14B0"/>
    <w:rsid w:val="009D5C98"/>
    <w:rsid w:val="009D7EF6"/>
    <w:rsid w:val="009E2D30"/>
    <w:rsid w:val="009E4395"/>
    <w:rsid w:val="009E4554"/>
    <w:rsid w:val="009F613B"/>
    <w:rsid w:val="00A05744"/>
    <w:rsid w:val="00A064A1"/>
    <w:rsid w:val="00A10594"/>
    <w:rsid w:val="00A140D6"/>
    <w:rsid w:val="00A3085D"/>
    <w:rsid w:val="00A33F92"/>
    <w:rsid w:val="00A35DFF"/>
    <w:rsid w:val="00A416E3"/>
    <w:rsid w:val="00A662CF"/>
    <w:rsid w:val="00A72102"/>
    <w:rsid w:val="00A77055"/>
    <w:rsid w:val="00A9326B"/>
    <w:rsid w:val="00A9364C"/>
    <w:rsid w:val="00AA17F8"/>
    <w:rsid w:val="00AA2A1D"/>
    <w:rsid w:val="00AA5043"/>
    <w:rsid w:val="00AB4A74"/>
    <w:rsid w:val="00AB68D1"/>
    <w:rsid w:val="00AC4027"/>
    <w:rsid w:val="00AE3601"/>
    <w:rsid w:val="00B04730"/>
    <w:rsid w:val="00B11A1B"/>
    <w:rsid w:val="00B3221A"/>
    <w:rsid w:val="00B3333B"/>
    <w:rsid w:val="00B33455"/>
    <w:rsid w:val="00B4099E"/>
    <w:rsid w:val="00B42323"/>
    <w:rsid w:val="00B508ED"/>
    <w:rsid w:val="00B50DF3"/>
    <w:rsid w:val="00B519E3"/>
    <w:rsid w:val="00B56C8B"/>
    <w:rsid w:val="00B60EB9"/>
    <w:rsid w:val="00B71FC0"/>
    <w:rsid w:val="00B75F7F"/>
    <w:rsid w:val="00B96778"/>
    <w:rsid w:val="00B96F46"/>
    <w:rsid w:val="00BA284C"/>
    <w:rsid w:val="00BB0D79"/>
    <w:rsid w:val="00BB5416"/>
    <w:rsid w:val="00BC1B55"/>
    <w:rsid w:val="00BD3C8B"/>
    <w:rsid w:val="00BE0E26"/>
    <w:rsid w:val="00BE6903"/>
    <w:rsid w:val="00C029E1"/>
    <w:rsid w:val="00C3142D"/>
    <w:rsid w:val="00C35510"/>
    <w:rsid w:val="00C40811"/>
    <w:rsid w:val="00C4227B"/>
    <w:rsid w:val="00C5202B"/>
    <w:rsid w:val="00C52A77"/>
    <w:rsid w:val="00C623C0"/>
    <w:rsid w:val="00C704B6"/>
    <w:rsid w:val="00C774AF"/>
    <w:rsid w:val="00C8005F"/>
    <w:rsid w:val="00C81926"/>
    <w:rsid w:val="00C900C8"/>
    <w:rsid w:val="00CA593A"/>
    <w:rsid w:val="00CB15A0"/>
    <w:rsid w:val="00CE7578"/>
    <w:rsid w:val="00D002D3"/>
    <w:rsid w:val="00D0471B"/>
    <w:rsid w:val="00D1476F"/>
    <w:rsid w:val="00D1701B"/>
    <w:rsid w:val="00D26F11"/>
    <w:rsid w:val="00D35454"/>
    <w:rsid w:val="00D5463A"/>
    <w:rsid w:val="00D63134"/>
    <w:rsid w:val="00D8099D"/>
    <w:rsid w:val="00D84ECB"/>
    <w:rsid w:val="00D93956"/>
    <w:rsid w:val="00D96B31"/>
    <w:rsid w:val="00DA5002"/>
    <w:rsid w:val="00DC33ED"/>
    <w:rsid w:val="00DC7674"/>
    <w:rsid w:val="00DD22AE"/>
    <w:rsid w:val="00DE7453"/>
    <w:rsid w:val="00DE762D"/>
    <w:rsid w:val="00DF05D6"/>
    <w:rsid w:val="00DF0B5E"/>
    <w:rsid w:val="00DF30CD"/>
    <w:rsid w:val="00DF684E"/>
    <w:rsid w:val="00E01A77"/>
    <w:rsid w:val="00E11504"/>
    <w:rsid w:val="00E25272"/>
    <w:rsid w:val="00E42C5A"/>
    <w:rsid w:val="00E523EB"/>
    <w:rsid w:val="00E60CE8"/>
    <w:rsid w:val="00E62CD2"/>
    <w:rsid w:val="00E631E5"/>
    <w:rsid w:val="00E74226"/>
    <w:rsid w:val="00E74A2B"/>
    <w:rsid w:val="00E75319"/>
    <w:rsid w:val="00E83763"/>
    <w:rsid w:val="00E91BD6"/>
    <w:rsid w:val="00E96624"/>
    <w:rsid w:val="00EA3DDE"/>
    <w:rsid w:val="00ED4E3E"/>
    <w:rsid w:val="00EE2AE9"/>
    <w:rsid w:val="00EE695D"/>
    <w:rsid w:val="00EF1C77"/>
    <w:rsid w:val="00EF3E6D"/>
    <w:rsid w:val="00EF506C"/>
    <w:rsid w:val="00EF7A21"/>
    <w:rsid w:val="00F00822"/>
    <w:rsid w:val="00F20E46"/>
    <w:rsid w:val="00F32366"/>
    <w:rsid w:val="00F3362E"/>
    <w:rsid w:val="00F40519"/>
    <w:rsid w:val="00F46D13"/>
    <w:rsid w:val="00F515FF"/>
    <w:rsid w:val="00F524C4"/>
    <w:rsid w:val="00F53FE0"/>
    <w:rsid w:val="00F546EB"/>
    <w:rsid w:val="00F73B4F"/>
    <w:rsid w:val="00F80A25"/>
    <w:rsid w:val="00FB5138"/>
    <w:rsid w:val="00FC48C7"/>
    <w:rsid w:val="00FC5986"/>
    <w:rsid w:val="00FD01C8"/>
    <w:rsid w:val="00FE10C8"/>
    <w:rsid w:val="00FE1BAA"/>
    <w:rsid w:val="0111BF1A"/>
    <w:rsid w:val="011E4ECF"/>
    <w:rsid w:val="02178B07"/>
    <w:rsid w:val="03AAA6F2"/>
    <w:rsid w:val="03FE787A"/>
    <w:rsid w:val="04B4528D"/>
    <w:rsid w:val="04BCEBBE"/>
    <w:rsid w:val="04CC6128"/>
    <w:rsid w:val="05099D62"/>
    <w:rsid w:val="050A95A7"/>
    <w:rsid w:val="07AEFE19"/>
    <w:rsid w:val="09339F56"/>
    <w:rsid w:val="09DE06CA"/>
    <w:rsid w:val="09F2129A"/>
    <w:rsid w:val="0AC71EAA"/>
    <w:rsid w:val="0D0C8FEB"/>
    <w:rsid w:val="0D860C40"/>
    <w:rsid w:val="0DF04222"/>
    <w:rsid w:val="0E447F84"/>
    <w:rsid w:val="0EE4C3D6"/>
    <w:rsid w:val="0F02F2C8"/>
    <w:rsid w:val="0F5FE324"/>
    <w:rsid w:val="0F7AD7AC"/>
    <w:rsid w:val="0FB9AB57"/>
    <w:rsid w:val="126E8178"/>
    <w:rsid w:val="12ABBDB2"/>
    <w:rsid w:val="12BBCCF2"/>
    <w:rsid w:val="13659E6A"/>
    <w:rsid w:val="139E4DDB"/>
    <w:rsid w:val="13CEDC07"/>
    <w:rsid w:val="145F83A6"/>
    <w:rsid w:val="15CE23B4"/>
    <w:rsid w:val="1740D844"/>
    <w:rsid w:val="17D6C91A"/>
    <w:rsid w:val="189AC546"/>
    <w:rsid w:val="18DFBC35"/>
    <w:rsid w:val="199674C4"/>
    <w:rsid w:val="1A54E808"/>
    <w:rsid w:val="1C3BD57B"/>
    <w:rsid w:val="1C3ECA3B"/>
    <w:rsid w:val="1C595AB4"/>
    <w:rsid w:val="1EE8EE08"/>
    <w:rsid w:val="1F8F31E4"/>
    <w:rsid w:val="20ADF687"/>
    <w:rsid w:val="21C631FE"/>
    <w:rsid w:val="2218A144"/>
    <w:rsid w:val="22208ECA"/>
    <w:rsid w:val="2339FF69"/>
    <w:rsid w:val="2504F5FD"/>
    <w:rsid w:val="25DE8602"/>
    <w:rsid w:val="2638530A"/>
    <w:rsid w:val="26E68796"/>
    <w:rsid w:val="26F3FFED"/>
    <w:rsid w:val="275EE994"/>
    <w:rsid w:val="27C90EB7"/>
    <w:rsid w:val="2873DAD2"/>
    <w:rsid w:val="2887E2C8"/>
    <w:rsid w:val="296FF3CC"/>
    <w:rsid w:val="2973EEE0"/>
    <w:rsid w:val="2A1BCCD6"/>
    <w:rsid w:val="2C692964"/>
    <w:rsid w:val="2DD06F8A"/>
    <w:rsid w:val="2E9CC87B"/>
    <w:rsid w:val="2FB82C1B"/>
    <w:rsid w:val="3081B9D6"/>
    <w:rsid w:val="3092F4AD"/>
    <w:rsid w:val="309AE60D"/>
    <w:rsid w:val="322EC50E"/>
    <w:rsid w:val="33CA956F"/>
    <w:rsid w:val="353F6075"/>
    <w:rsid w:val="356665D0"/>
    <w:rsid w:val="35C014A0"/>
    <w:rsid w:val="35FDD3B9"/>
    <w:rsid w:val="365AC415"/>
    <w:rsid w:val="36CBBB18"/>
    <w:rsid w:val="37E1F12E"/>
    <w:rsid w:val="38DB14D0"/>
    <w:rsid w:val="38DDAB44"/>
    <w:rsid w:val="3907DF81"/>
    <w:rsid w:val="3956EA30"/>
    <w:rsid w:val="3A0B49B4"/>
    <w:rsid w:val="3A130469"/>
    <w:rsid w:val="3D5A4C6B"/>
    <w:rsid w:val="3D6E6AEA"/>
    <w:rsid w:val="3E2E6FD5"/>
    <w:rsid w:val="3EBF3986"/>
    <w:rsid w:val="3EFB79A1"/>
    <w:rsid w:val="3FD6A7D5"/>
    <w:rsid w:val="4272E74E"/>
    <w:rsid w:val="4346DE06"/>
    <w:rsid w:val="43A31C32"/>
    <w:rsid w:val="44A68665"/>
    <w:rsid w:val="44B2E8B9"/>
    <w:rsid w:val="45C1EA05"/>
    <w:rsid w:val="461B49B7"/>
    <w:rsid w:val="463FF8E6"/>
    <w:rsid w:val="473715D8"/>
    <w:rsid w:val="475FEC33"/>
    <w:rsid w:val="47A05375"/>
    <w:rsid w:val="4951BF63"/>
    <w:rsid w:val="497A2A59"/>
    <w:rsid w:val="4A811470"/>
    <w:rsid w:val="4AF710E1"/>
    <w:rsid w:val="4B708D36"/>
    <w:rsid w:val="4C6C3CB4"/>
    <w:rsid w:val="4CD1BCA8"/>
    <w:rsid w:val="4E532A27"/>
    <w:rsid w:val="4E6A239B"/>
    <w:rsid w:val="4F119D6B"/>
    <w:rsid w:val="4F6AFE18"/>
    <w:rsid w:val="5106CE79"/>
    <w:rsid w:val="530A4222"/>
    <w:rsid w:val="5335A738"/>
    <w:rsid w:val="54C55D29"/>
    <w:rsid w:val="54F8EA4A"/>
    <w:rsid w:val="5505378B"/>
    <w:rsid w:val="5597A96C"/>
    <w:rsid w:val="55FC547D"/>
    <w:rsid w:val="563A562B"/>
    <w:rsid w:val="5733DA9A"/>
    <w:rsid w:val="575CE7A0"/>
    <w:rsid w:val="587CA538"/>
    <w:rsid w:val="59ACD642"/>
    <w:rsid w:val="59ACDA1C"/>
    <w:rsid w:val="5B29C0A4"/>
    <w:rsid w:val="5B8B438C"/>
    <w:rsid w:val="5CCB4EA7"/>
    <w:rsid w:val="5CE47704"/>
    <w:rsid w:val="5D488E77"/>
    <w:rsid w:val="5D651A70"/>
    <w:rsid w:val="5E671F08"/>
    <w:rsid w:val="5EC574FF"/>
    <w:rsid w:val="5F3EEC7F"/>
    <w:rsid w:val="5F9426FB"/>
    <w:rsid w:val="60F91416"/>
    <w:rsid w:val="616FE707"/>
    <w:rsid w:val="61F78CD9"/>
    <w:rsid w:val="621196F7"/>
    <w:rsid w:val="62863956"/>
    <w:rsid w:val="651B5B55"/>
    <w:rsid w:val="6658677B"/>
    <w:rsid w:val="668B594A"/>
    <w:rsid w:val="674F08FF"/>
    <w:rsid w:val="68D39BA9"/>
    <w:rsid w:val="68DAA0AE"/>
    <w:rsid w:val="6928D150"/>
    <w:rsid w:val="69B1BF35"/>
    <w:rsid w:val="6A33F638"/>
    <w:rsid w:val="6B4D8F96"/>
    <w:rsid w:val="6D1D541D"/>
    <w:rsid w:val="6DB792EE"/>
    <w:rsid w:val="6EBCE784"/>
    <w:rsid w:val="6FA68E7D"/>
    <w:rsid w:val="7007D85C"/>
    <w:rsid w:val="7054F4DF"/>
    <w:rsid w:val="70D1FBA6"/>
    <w:rsid w:val="70D68E32"/>
    <w:rsid w:val="71A5402E"/>
    <w:rsid w:val="71BB87CC"/>
    <w:rsid w:val="7236E8C1"/>
    <w:rsid w:val="72949E91"/>
    <w:rsid w:val="75CF0C72"/>
    <w:rsid w:val="7702D200"/>
    <w:rsid w:val="782C129E"/>
    <w:rsid w:val="794E6A84"/>
    <w:rsid w:val="7A7CED99"/>
    <w:rsid w:val="7BCEBB3F"/>
    <w:rsid w:val="7BEB4738"/>
    <w:rsid w:val="7C750245"/>
    <w:rsid w:val="7D5BE07F"/>
    <w:rsid w:val="7DC0F5FA"/>
    <w:rsid w:val="7E3936E3"/>
    <w:rsid w:val="7F75E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C840"/>
  <w15:chartTrackingRefBased/>
  <w15:docId w15:val="{5158B6E5-4B0C-43C3-B63A-BA3B6A10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63"/>
  </w:style>
  <w:style w:type="paragraph" w:styleId="Heading1">
    <w:name w:val="heading 1"/>
    <w:basedOn w:val="Normal"/>
    <w:link w:val="Heading1Char"/>
    <w:uiPriority w:val="9"/>
    <w:qFormat/>
    <w:rsid w:val="00F32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767C8"/>
    <w:pPr>
      <w:spacing w:after="200" w:line="240" w:lineRule="auto"/>
    </w:pPr>
    <w:rPr>
      <w:i/>
      <w:iCs/>
      <w:color w:val="44546A" w:themeColor="text2"/>
      <w:sz w:val="18"/>
      <w:szCs w:val="18"/>
    </w:rPr>
  </w:style>
  <w:style w:type="paragraph" w:customStyle="1" w:styleId="paragraph">
    <w:name w:val="paragraph"/>
    <w:basedOn w:val="Normal"/>
    <w:rsid w:val="008C5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C594A"/>
  </w:style>
  <w:style w:type="character" w:customStyle="1" w:styleId="eop">
    <w:name w:val="eop"/>
    <w:basedOn w:val="DefaultParagraphFont"/>
    <w:rsid w:val="008C594A"/>
  </w:style>
  <w:style w:type="paragraph" w:styleId="ListParagraph">
    <w:name w:val="List Paragraph"/>
    <w:basedOn w:val="Normal"/>
    <w:uiPriority w:val="34"/>
    <w:qFormat/>
    <w:rsid w:val="0081532E"/>
    <w:pPr>
      <w:ind w:left="720"/>
      <w:contextualSpacing/>
    </w:pPr>
  </w:style>
  <w:style w:type="character" w:styleId="Hyperlink">
    <w:name w:val="Hyperlink"/>
    <w:basedOn w:val="DefaultParagraphFont"/>
    <w:uiPriority w:val="99"/>
    <w:unhideWhenUsed/>
    <w:rsid w:val="009D7EF6"/>
    <w:rPr>
      <w:color w:val="0000FF"/>
      <w:u w:val="single"/>
    </w:rPr>
  </w:style>
  <w:style w:type="character" w:styleId="UnresolvedMention">
    <w:name w:val="Unresolved Mention"/>
    <w:basedOn w:val="DefaultParagraphFont"/>
    <w:uiPriority w:val="99"/>
    <w:semiHidden/>
    <w:unhideWhenUsed/>
    <w:rsid w:val="009D7EF6"/>
    <w:rPr>
      <w:color w:val="605E5C"/>
      <w:shd w:val="clear" w:color="auto" w:fill="E1DFDD"/>
    </w:rPr>
  </w:style>
  <w:style w:type="paragraph" w:styleId="NormalWeb">
    <w:name w:val="Normal (Web)"/>
    <w:basedOn w:val="Normal"/>
    <w:uiPriority w:val="99"/>
    <w:semiHidden/>
    <w:unhideWhenUsed/>
    <w:rsid w:val="00966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966705"/>
  </w:style>
  <w:style w:type="character" w:customStyle="1" w:styleId="ms-button-label">
    <w:name w:val="ms-button-label"/>
    <w:basedOn w:val="DefaultParagraphFont"/>
    <w:rsid w:val="00966705"/>
  </w:style>
  <w:style w:type="character" w:customStyle="1" w:styleId="vem5dda0vo4pg7t4y146">
    <w:name w:val="vem5dda0vo4pg7t4y146"/>
    <w:basedOn w:val="DefaultParagraphFont"/>
    <w:rsid w:val="00966705"/>
  </w:style>
  <w:style w:type="character" w:customStyle="1" w:styleId="Heading1Char">
    <w:name w:val="Heading 1 Char"/>
    <w:basedOn w:val="DefaultParagraphFont"/>
    <w:link w:val="Heading1"/>
    <w:uiPriority w:val="9"/>
    <w:rsid w:val="00F32366"/>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FE10C8"/>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8775">
      <w:bodyDiv w:val="1"/>
      <w:marLeft w:val="0"/>
      <w:marRight w:val="0"/>
      <w:marTop w:val="0"/>
      <w:marBottom w:val="0"/>
      <w:divBdr>
        <w:top w:val="none" w:sz="0" w:space="0" w:color="auto"/>
        <w:left w:val="none" w:sz="0" w:space="0" w:color="auto"/>
        <w:bottom w:val="none" w:sz="0" w:space="0" w:color="auto"/>
        <w:right w:val="none" w:sz="0" w:space="0" w:color="auto"/>
      </w:divBdr>
    </w:div>
    <w:div w:id="872965718">
      <w:bodyDiv w:val="1"/>
      <w:marLeft w:val="0"/>
      <w:marRight w:val="0"/>
      <w:marTop w:val="0"/>
      <w:marBottom w:val="0"/>
      <w:divBdr>
        <w:top w:val="none" w:sz="0" w:space="0" w:color="auto"/>
        <w:left w:val="none" w:sz="0" w:space="0" w:color="auto"/>
        <w:bottom w:val="none" w:sz="0" w:space="0" w:color="auto"/>
        <w:right w:val="none" w:sz="0" w:space="0" w:color="auto"/>
      </w:divBdr>
      <w:divsChild>
        <w:div w:id="435905115">
          <w:marLeft w:val="780"/>
          <w:marRight w:val="240"/>
          <w:marTop w:val="180"/>
          <w:marBottom w:val="0"/>
          <w:divBdr>
            <w:top w:val="none" w:sz="0" w:space="0" w:color="auto"/>
            <w:left w:val="none" w:sz="0" w:space="0" w:color="auto"/>
            <w:bottom w:val="none" w:sz="0" w:space="0" w:color="auto"/>
            <w:right w:val="none" w:sz="0" w:space="0" w:color="auto"/>
          </w:divBdr>
          <w:divsChild>
            <w:div w:id="1671905375">
              <w:marLeft w:val="0"/>
              <w:marRight w:val="0"/>
              <w:marTop w:val="0"/>
              <w:marBottom w:val="0"/>
              <w:divBdr>
                <w:top w:val="none" w:sz="0" w:space="0" w:color="auto"/>
                <w:left w:val="none" w:sz="0" w:space="0" w:color="auto"/>
                <w:bottom w:val="none" w:sz="0" w:space="0" w:color="auto"/>
                <w:right w:val="none" w:sz="0" w:space="0" w:color="auto"/>
              </w:divBdr>
              <w:divsChild>
                <w:div w:id="555630529">
                  <w:marLeft w:val="0"/>
                  <w:marRight w:val="0"/>
                  <w:marTop w:val="0"/>
                  <w:marBottom w:val="0"/>
                  <w:divBdr>
                    <w:top w:val="none" w:sz="0" w:space="0" w:color="auto"/>
                    <w:left w:val="none" w:sz="0" w:space="0" w:color="auto"/>
                    <w:bottom w:val="none" w:sz="0" w:space="0" w:color="auto"/>
                    <w:right w:val="none" w:sz="0" w:space="0" w:color="auto"/>
                  </w:divBdr>
                  <w:divsChild>
                    <w:div w:id="158665673">
                      <w:marLeft w:val="0"/>
                      <w:marRight w:val="0"/>
                      <w:marTop w:val="0"/>
                      <w:marBottom w:val="0"/>
                      <w:divBdr>
                        <w:top w:val="none" w:sz="0" w:space="0" w:color="auto"/>
                        <w:left w:val="none" w:sz="0" w:space="0" w:color="auto"/>
                        <w:bottom w:val="none" w:sz="0" w:space="0" w:color="auto"/>
                        <w:right w:val="none" w:sz="0" w:space="0" w:color="auto"/>
                      </w:divBdr>
                      <w:divsChild>
                        <w:div w:id="16729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9068">
          <w:marLeft w:val="780"/>
          <w:marRight w:val="0"/>
          <w:marTop w:val="0"/>
          <w:marBottom w:val="0"/>
          <w:divBdr>
            <w:top w:val="none" w:sz="0" w:space="0" w:color="auto"/>
            <w:left w:val="none" w:sz="0" w:space="0" w:color="auto"/>
            <w:bottom w:val="none" w:sz="0" w:space="0" w:color="auto"/>
            <w:right w:val="none" w:sz="0" w:space="0" w:color="auto"/>
          </w:divBdr>
          <w:divsChild>
            <w:div w:id="1492022996">
              <w:marLeft w:val="0"/>
              <w:marRight w:val="0"/>
              <w:marTop w:val="0"/>
              <w:marBottom w:val="0"/>
              <w:divBdr>
                <w:top w:val="none" w:sz="0" w:space="0" w:color="auto"/>
                <w:left w:val="none" w:sz="0" w:space="0" w:color="auto"/>
                <w:bottom w:val="none" w:sz="0" w:space="0" w:color="auto"/>
                <w:right w:val="none" w:sz="0" w:space="0" w:color="auto"/>
              </w:divBdr>
            </w:div>
            <w:div w:id="347146999">
              <w:marLeft w:val="0"/>
              <w:marRight w:val="0"/>
              <w:marTop w:val="180"/>
              <w:marBottom w:val="180"/>
              <w:divBdr>
                <w:top w:val="none" w:sz="0" w:space="0" w:color="auto"/>
                <w:left w:val="none" w:sz="0" w:space="0" w:color="auto"/>
                <w:bottom w:val="none" w:sz="0" w:space="0" w:color="auto"/>
                <w:right w:val="none" w:sz="0" w:space="0" w:color="auto"/>
              </w:divBdr>
              <w:divsChild>
                <w:div w:id="1676028136">
                  <w:marLeft w:val="0"/>
                  <w:marRight w:val="0"/>
                  <w:marTop w:val="0"/>
                  <w:marBottom w:val="0"/>
                  <w:divBdr>
                    <w:top w:val="none" w:sz="0" w:space="0" w:color="auto"/>
                    <w:left w:val="none" w:sz="0" w:space="0" w:color="auto"/>
                    <w:bottom w:val="none" w:sz="0" w:space="0" w:color="auto"/>
                    <w:right w:val="none" w:sz="0" w:space="0" w:color="auto"/>
                  </w:divBdr>
                  <w:divsChild>
                    <w:div w:id="1089620059">
                      <w:marLeft w:val="0"/>
                      <w:marRight w:val="0"/>
                      <w:marTop w:val="0"/>
                      <w:marBottom w:val="0"/>
                      <w:divBdr>
                        <w:top w:val="none" w:sz="0" w:space="0" w:color="auto"/>
                        <w:left w:val="none" w:sz="0" w:space="0" w:color="auto"/>
                        <w:bottom w:val="none" w:sz="0" w:space="0" w:color="auto"/>
                        <w:right w:val="none" w:sz="0" w:space="0" w:color="auto"/>
                      </w:divBdr>
                    </w:div>
                  </w:divsChild>
                </w:div>
                <w:div w:id="14072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chart" Target="charts/chart3.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lois\OneDrive\Documents\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ois\OneDrive\Documents\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ois\OneDrive\Documents\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ois\OneDrive\Documents\DAT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Apixaban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CrCl calculated</c:v>
                </c:pt>
              </c:strCache>
            </c:strRef>
          </c:tx>
          <c:spPr>
            <a:solidFill>
              <a:schemeClr val="accent1"/>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Sheet1!$B$2:$B$19</c:f>
              <c:numCache>
                <c:formatCode>0</c:formatCode>
                <c:ptCount val="18"/>
                <c:pt idx="0">
                  <c:v>86.7</c:v>
                </c:pt>
                <c:pt idx="1">
                  <c:v>70.599999999999994</c:v>
                </c:pt>
                <c:pt idx="2">
                  <c:v>33.299999999999997</c:v>
                </c:pt>
                <c:pt idx="3">
                  <c:v>69.2</c:v>
                </c:pt>
                <c:pt idx="4">
                  <c:v>91.8</c:v>
                </c:pt>
                <c:pt idx="5">
                  <c:v>31.1</c:v>
                </c:pt>
                <c:pt idx="6">
                  <c:v>62.5</c:v>
                </c:pt>
                <c:pt idx="7">
                  <c:v>74.7</c:v>
                </c:pt>
                <c:pt idx="8">
                  <c:v>80.099999999999994</c:v>
                </c:pt>
                <c:pt idx="9">
                  <c:v>49.9</c:v>
                </c:pt>
                <c:pt idx="10">
                  <c:v>28.2</c:v>
                </c:pt>
                <c:pt idx="11">
                  <c:v>78.7</c:v>
                </c:pt>
                <c:pt idx="12">
                  <c:v>94.2</c:v>
                </c:pt>
                <c:pt idx="13">
                  <c:v>40</c:v>
                </c:pt>
                <c:pt idx="14">
                  <c:v>34.4</c:v>
                </c:pt>
                <c:pt idx="15">
                  <c:v>80.599999999999994</c:v>
                </c:pt>
                <c:pt idx="16">
                  <c:v>50.8</c:v>
                </c:pt>
                <c:pt idx="17">
                  <c:v>53.8</c:v>
                </c:pt>
              </c:numCache>
            </c:numRef>
          </c:val>
          <c:extLst>
            <c:ext xmlns:c16="http://schemas.microsoft.com/office/drawing/2014/chart" uri="{C3380CC4-5D6E-409C-BE32-E72D297353CC}">
              <c16:uniqueId val="{00000000-6E9E-4D1A-A657-37787C3C1837}"/>
            </c:ext>
          </c:extLst>
        </c:ser>
        <c:ser>
          <c:idx val="1"/>
          <c:order val="1"/>
          <c:tx>
            <c:strRef>
              <c:f>Sheet1!$C$1</c:f>
              <c:strCache>
                <c:ptCount val="1"/>
                <c:pt idx="0">
                  <c:v>% Correct Dose</c:v>
                </c:pt>
              </c:strCache>
            </c:strRef>
          </c:tx>
          <c:spPr>
            <a:solidFill>
              <a:schemeClr val="accent2"/>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Sheet1!$C$2:$C$19</c:f>
              <c:numCache>
                <c:formatCode>General</c:formatCode>
                <c:ptCount val="18"/>
                <c:pt idx="0">
                  <c:v>96.7</c:v>
                </c:pt>
                <c:pt idx="1">
                  <c:v>95.4</c:v>
                </c:pt>
                <c:pt idx="2">
                  <c:v>31.1</c:v>
                </c:pt>
                <c:pt idx="3">
                  <c:v>66.099999999999994</c:v>
                </c:pt>
                <c:pt idx="4">
                  <c:v>90.5</c:v>
                </c:pt>
                <c:pt idx="5">
                  <c:v>88.6</c:v>
                </c:pt>
                <c:pt idx="6">
                  <c:v>77.900000000000006</c:v>
                </c:pt>
                <c:pt idx="7">
                  <c:v>79.400000000000006</c:v>
                </c:pt>
                <c:pt idx="8">
                  <c:v>90</c:v>
                </c:pt>
                <c:pt idx="9">
                  <c:v>85.1</c:v>
                </c:pt>
                <c:pt idx="10">
                  <c:v>33.799999999999997</c:v>
                </c:pt>
                <c:pt idx="11">
                  <c:v>85.8</c:v>
                </c:pt>
                <c:pt idx="12">
                  <c:v>95.1</c:v>
                </c:pt>
                <c:pt idx="13">
                  <c:v>94.6</c:v>
                </c:pt>
                <c:pt idx="14">
                  <c:v>94.1</c:v>
                </c:pt>
                <c:pt idx="15">
                  <c:v>85.4</c:v>
                </c:pt>
                <c:pt idx="16">
                  <c:v>92.2</c:v>
                </c:pt>
                <c:pt idx="17">
                  <c:v>91.5</c:v>
                </c:pt>
              </c:numCache>
            </c:numRef>
          </c:val>
          <c:extLst>
            <c:ext xmlns:c16="http://schemas.microsoft.com/office/drawing/2014/chart" uri="{C3380CC4-5D6E-409C-BE32-E72D297353CC}">
              <c16:uniqueId val="{00000001-6E9E-4D1A-A657-37787C3C1837}"/>
            </c:ext>
          </c:extLst>
        </c:ser>
        <c:ser>
          <c:idx val="2"/>
          <c:order val="2"/>
          <c:tx>
            <c:strRef>
              <c:f>Sheet1!$D$1</c:f>
              <c:strCache>
                <c:ptCount val="1"/>
                <c:pt idx="0">
                  <c:v>% Dose High</c:v>
                </c:pt>
              </c:strCache>
            </c:strRef>
          </c:tx>
          <c:spPr>
            <a:solidFill>
              <a:schemeClr val="accent3"/>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Sheet1!$D$2:$D$19</c:f>
              <c:numCache>
                <c:formatCode>General</c:formatCode>
                <c:ptCount val="18"/>
                <c:pt idx="0">
                  <c:v>1.5</c:v>
                </c:pt>
                <c:pt idx="1">
                  <c:v>1.8</c:v>
                </c:pt>
                <c:pt idx="2">
                  <c:v>0.2</c:v>
                </c:pt>
                <c:pt idx="3">
                  <c:v>3.9</c:v>
                </c:pt>
                <c:pt idx="4">
                  <c:v>5.3</c:v>
                </c:pt>
                <c:pt idx="5">
                  <c:v>4.2</c:v>
                </c:pt>
                <c:pt idx="6">
                  <c:v>1.9</c:v>
                </c:pt>
                <c:pt idx="7">
                  <c:v>2.1</c:v>
                </c:pt>
                <c:pt idx="8">
                  <c:v>1.5</c:v>
                </c:pt>
                <c:pt idx="9">
                  <c:v>4</c:v>
                </c:pt>
                <c:pt idx="10">
                  <c:v>0.8</c:v>
                </c:pt>
                <c:pt idx="11">
                  <c:v>3.1</c:v>
                </c:pt>
                <c:pt idx="12">
                  <c:v>1.6</c:v>
                </c:pt>
                <c:pt idx="13">
                  <c:v>1.2</c:v>
                </c:pt>
                <c:pt idx="14">
                  <c:v>1.3</c:v>
                </c:pt>
                <c:pt idx="15">
                  <c:v>2</c:v>
                </c:pt>
                <c:pt idx="16">
                  <c:v>1.8</c:v>
                </c:pt>
                <c:pt idx="17">
                  <c:v>2</c:v>
                </c:pt>
              </c:numCache>
            </c:numRef>
          </c:val>
          <c:extLst>
            <c:ext xmlns:c16="http://schemas.microsoft.com/office/drawing/2014/chart" uri="{C3380CC4-5D6E-409C-BE32-E72D297353CC}">
              <c16:uniqueId val="{00000002-6E9E-4D1A-A657-37787C3C1837}"/>
            </c:ext>
          </c:extLst>
        </c:ser>
        <c:ser>
          <c:idx val="3"/>
          <c:order val="3"/>
          <c:tx>
            <c:strRef>
              <c:f>Sheet1!$E$1</c:f>
              <c:strCache>
                <c:ptCount val="1"/>
                <c:pt idx="0">
                  <c:v>% Dose Low</c:v>
                </c:pt>
              </c:strCache>
            </c:strRef>
          </c:tx>
          <c:spPr>
            <a:solidFill>
              <a:schemeClr val="accent4"/>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Sheet1!$E$2:$E$19</c:f>
              <c:numCache>
                <c:formatCode>General</c:formatCode>
                <c:ptCount val="18"/>
                <c:pt idx="0">
                  <c:v>1.8</c:v>
                </c:pt>
                <c:pt idx="1">
                  <c:v>2.8</c:v>
                </c:pt>
                <c:pt idx="2">
                  <c:v>2</c:v>
                </c:pt>
                <c:pt idx="3">
                  <c:v>1.6</c:v>
                </c:pt>
                <c:pt idx="4">
                  <c:v>3.6</c:v>
                </c:pt>
                <c:pt idx="5">
                  <c:v>6.1</c:v>
                </c:pt>
                <c:pt idx="6">
                  <c:v>1.4</c:v>
                </c:pt>
                <c:pt idx="7">
                  <c:v>3.2</c:v>
                </c:pt>
                <c:pt idx="8">
                  <c:v>0.6</c:v>
                </c:pt>
                <c:pt idx="9">
                  <c:v>6.4</c:v>
                </c:pt>
                <c:pt idx="10">
                  <c:v>0.8</c:v>
                </c:pt>
                <c:pt idx="11">
                  <c:v>6.1</c:v>
                </c:pt>
                <c:pt idx="12">
                  <c:v>3.3</c:v>
                </c:pt>
                <c:pt idx="13">
                  <c:v>3.9</c:v>
                </c:pt>
                <c:pt idx="14">
                  <c:v>4.5</c:v>
                </c:pt>
                <c:pt idx="15">
                  <c:v>0</c:v>
                </c:pt>
                <c:pt idx="16">
                  <c:v>6.1</c:v>
                </c:pt>
                <c:pt idx="17">
                  <c:v>3.1</c:v>
                </c:pt>
              </c:numCache>
            </c:numRef>
          </c:val>
          <c:extLst>
            <c:ext xmlns:c16="http://schemas.microsoft.com/office/drawing/2014/chart" uri="{C3380CC4-5D6E-409C-BE32-E72D297353CC}">
              <c16:uniqueId val="{00000003-6E9E-4D1A-A657-37787C3C1837}"/>
            </c:ext>
          </c:extLst>
        </c:ser>
        <c:dLbls>
          <c:showLegendKey val="0"/>
          <c:showVal val="0"/>
          <c:showCatName val="0"/>
          <c:showSerName val="0"/>
          <c:showPercent val="0"/>
          <c:showBubbleSize val="0"/>
        </c:dLbls>
        <c:gapWidth val="219"/>
        <c:overlap val="-27"/>
        <c:axId val="1326305151"/>
        <c:axId val="1326305567"/>
      </c:barChart>
      <c:catAx>
        <c:axId val="132630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305567"/>
        <c:crosses val="autoZero"/>
        <c:auto val="1"/>
        <c:lblAlgn val="ctr"/>
        <c:lblOffset val="100"/>
        <c:noMultiLvlLbl val="0"/>
      </c:catAx>
      <c:valAx>
        <c:axId val="132630556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3051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Dabigatran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c:f>
              <c:strCache>
                <c:ptCount val="1"/>
                <c:pt idx="0">
                  <c:v>% CrCl calculated </c:v>
                </c:pt>
              </c:strCache>
            </c:strRef>
          </c:tx>
          <c:spPr>
            <a:solidFill>
              <a:schemeClr val="accent1"/>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Sheet1!$F$2:$F$19</c:f>
              <c:numCache>
                <c:formatCode>General</c:formatCode>
                <c:ptCount val="18"/>
                <c:pt idx="0">
                  <c:v>78.900000000000006</c:v>
                </c:pt>
                <c:pt idx="1">
                  <c:v>65.400000000000006</c:v>
                </c:pt>
                <c:pt idx="2">
                  <c:v>28.6</c:v>
                </c:pt>
                <c:pt idx="3">
                  <c:v>52.9</c:v>
                </c:pt>
                <c:pt idx="4">
                  <c:v>89.7</c:v>
                </c:pt>
                <c:pt idx="5">
                  <c:v>21.9</c:v>
                </c:pt>
                <c:pt idx="6">
                  <c:v>57.4</c:v>
                </c:pt>
                <c:pt idx="7">
                  <c:v>44.4</c:v>
                </c:pt>
                <c:pt idx="8">
                  <c:v>75.900000000000006</c:v>
                </c:pt>
                <c:pt idx="9">
                  <c:v>46.9</c:v>
                </c:pt>
                <c:pt idx="10">
                  <c:v>26.9</c:v>
                </c:pt>
                <c:pt idx="11">
                  <c:v>88.9</c:v>
                </c:pt>
                <c:pt idx="12">
                  <c:v>76.900000000000006</c:v>
                </c:pt>
                <c:pt idx="13">
                  <c:v>31.9</c:v>
                </c:pt>
                <c:pt idx="14">
                  <c:v>37.299999999999997</c:v>
                </c:pt>
                <c:pt idx="15">
                  <c:v>86</c:v>
                </c:pt>
                <c:pt idx="16">
                  <c:v>55.7</c:v>
                </c:pt>
                <c:pt idx="17">
                  <c:v>58.6</c:v>
                </c:pt>
              </c:numCache>
            </c:numRef>
          </c:val>
          <c:extLst>
            <c:ext xmlns:c16="http://schemas.microsoft.com/office/drawing/2014/chart" uri="{C3380CC4-5D6E-409C-BE32-E72D297353CC}">
              <c16:uniqueId val="{00000000-5F6E-481A-BA8E-D4FF09576904}"/>
            </c:ext>
          </c:extLst>
        </c:ser>
        <c:ser>
          <c:idx val="1"/>
          <c:order val="1"/>
          <c:tx>
            <c:strRef>
              <c:f>Sheet1!$G$1</c:f>
              <c:strCache>
                <c:ptCount val="1"/>
                <c:pt idx="0">
                  <c:v>% Correct Dose</c:v>
                </c:pt>
              </c:strCache>
            </c:strRef>
          </c:tx>
          <c:spPr>
            <a:solidFill>
              <a:schemeClr val="accent2"/>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Sheet1!$G$2:$G$19</c:f>
              <c:numCache>
                <c:formatCode>General</c:formatCode>
                <c:ptCount val="18"/>
                <c:pt idx="0">
                  <c:v>94.7</c:v>
                </c:pt>
                <c:pt idx="1">
                  <c:v>92.3</c:v>
                </c:pt>
                <c:pt idx="2">
                  <c:v>28.6</c:v>
                </c:pt>
                <c:pt idx="3">
                  <c:v>49.6</c:v>
                </c:pt>
                <c:pt idx="4">
                  <c:v>91.4</c:v>
                </c:pt>
                <c:pt idx="5">
                  <c:v>93.8</c:v>
                </c:pt>
                <c:pt idx="6">
                  <c:v>68.099999999999994</c:v>
                </c:pt>
                <c:pt idx="7">
                  <c:v>84.1</c:v>
                </c:pt>
                <c:pt idx="8">
                  <c:v>88.9</c:v>
                </c:pt>
                <c:pt idx="9">
                  <c:v>89.8</c:v>
                </c:pt>
                <c:pt idx="10">
                  <c:v>36.5</c:v>
                </c:pt>
                <c:pt idx="11">
                  <c:v>88.9</c:v>
                </c:pt>
                <c:pt idx="12">
                  <c:v>80.8</c:v>
                </c:pt>
                <c:pt idx="13">
                  <c:v>95.7</c:v>
                </c:pt>
                <c:pt idx="14">
                  <c:v>91</c:v>
                </c:pt>
                <c:pt idx="15">
                  <c:v>82.5</c:v>
                </c:pt>
                <c:pt idx="16">
                  <c:v>83.6</c:v>
                </c:pt>
                <c:pt idx="17">
                  <c:v>85.7</c:v>
                </c:pt>
              </c:numCache>
            </c:numRef>
          </c:val>
          <c:extLst>
            <c:ext xmlns:c16="http://schemas.microsoft.com/office/drawing/2014/chart" uri="{C3380CC4-5D6E-409C-BE32-E72D297353CC}">
              <c16:uniqueId val="{00000001-5F6E-481A-BA8E-D4FF09576904}"/>
            </c:ext>
          </c:extLst>
        </c:ser>
        <c:ser>
          <c:idx val="2"/>
          <c:order val="2"/>
          <c:tx>
            <c:strRef>
              <c:f>Sheet1!$H$1</c:f>
              <c:strCache>
                <c:ptCount val="1"/>
                <c:pt idx="0">
                  <c:v>% Dose High</c:v>
                </c:pt>
              </c:strCache>
            </c:strRef>
          </c:tx>
          <c:spPr>
            <a:solidFill>
              <a:schemeClr val="accent3"/>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Sheet1!$H$2:$H$19</c:f>
              <c:numCache>
                <c:formatCode>General</c:formatCode>
                <c:ptCount val="18"/>
                <c:pt idx="0">
                  <c:v>0</c:v>
                </c:pt>
                <c:pt idx="1">
                  <c:v>3.8</c:v>
                </c:pt>
                <c:pt idx="2">
                  <c:v>0</c:v>
                </c:pt>
                <c:pt idx="3">
                  <c:v>4.0999999999999996</c:v>
                </c:pt>
                <c:pt idx="4">
                  <c:v>3.4</c:v>
                </c:pt>
                <c:pt idx="5">
                  <c:v>9.4</c:v>
                </c:pt>
                <c:pt idx="6">
                  <c:v>2.1</c:v>
                </c:pt>
                <c:pt idx="7">
                  <c:v>4.8</c:v>
                </c:pt>
                <c:pt idx="8">
                  <c:v>0</c:v>
                </c:pt>
                <c:pt idx="9">
                  <c:v>4.0999999999999996</c:v>
                </c:pt>
                <c:pt idx="10">
                  <c:v>1.9</c:v>
                </c:pt>
                <c:pt idx="11">
                  <c:v>4.4000000000000004</c:v>
                </c:pt>
                <c:pt idx="12">
                  <c:v>3.8</c:v>
                </c:pt>
                <c:pt idx="13">
                  <c:v>0</c:v>
                </c:pt>
                <c:pt idx="14">
                  <c:v>6</c:v>
                </c:pt>
                <c:pt idx="15">
                  <c:v>1.8</c:v>
                </c:pt>
                <c:pt idx="16">
                  <c:v>6.6</c:v>
                </c:pt>
                <c:pt idx="17">
                  <c:v>5.7</c:v>
                </c:pt>
              </c:numCache>
            </c:numRef>
          </c:val>
          <c:extLst>
            <c:ext xmlns:c16="http://schemas.microsoft.com/office/drawing/2014/chart" uri="{C3380CC4-5D6E-409C-BE32-E72D297353CC}">
              <c16:uniqueId val="{00000002-5F6E-481A-BA8E-D4FF09576904}"/>
            </c:ext>
          </c:extLst>
        </c:ser>
        <c:ser>
          <c:idx val="3"/>
          <c:order val="3"/>
          <c:tx>
            <c:strRef>
              <c:f>Sheet1!$I$1</c:f>
              <c:strCache>
                <c:ptCount val="1"/>
                <c:pt idx="0">
                  <c:v>% Dose Low</c:v>
                </c:pt>
              </c:strCache>
            </c:strRef>
          </c:tx>
          <c:spPr>
            <a:solidFill>
              <a:schemeClr val="accent4"/>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Sheet1!$I$2:$I$19</c:f>
              <c:numCache>
                <c:formatCode>General</c:formatCode>
                <c:ptCount val="18"/>
                <c:pt idx="0">
                  <c:v>5.3</c:v>
                </c:pt>
                <c:pt idx="1">
                  <c:v>1.3</c:v>
                </c:pt>
                <c:pt idx="2">
                  <c:v>0</c:v>
                </c:pt>
                <c:pt idx="3">
                  <c:v>0</c:v>
                </c:pt>
                <c:pt idx="4">
                  <c:v>5.2</c:v>
                </c:pt>
                <c:pt idx="5">
                  <c:v>0</c:v>
                </c:pt>
                <c:pt idx="6">
                  <c:v>4.3</c:v>
                </c:pt>
                <c:pt idx="7">
                  <c:v>0</c:v>
                </c:pt>
                <c:pt idx="8">
                  <c:v>0</c:v>
                </c:pt>
                <c:pt idx="9">
                  <c:v>4.0999999999999996</c:v>
                </c:pt>
                <c:pt idx="10">
                  <c:v>0</c:v>
                </c:pt>
                <c:pt idx="11">
                  <c:v>8.8000000000000007</c:v>
                </c:pt>
                <c:pt idx="12">
                  <c:v>15.4</c:v>
                </c:pt>
                <c:pt idx="13">
                  <c:v>4.3</c:v>
                </c:pt>
                <c:pt idx="14">
                  <c:v>3</c:v>
                </c:pt>
                <c:pt idx="15">
                  <c:v>0</c:v>
                </c:pt>
                <c:pt idx="16">
                  <c:v>11.5</c:v>
                </c:pt>
                <c:pt idx="17">
                  <c:v>8.6</c:v>
                </c:pt>
              </c:numCache>
            </c:numRef>
          </c:val>
          <c:extLst>
            <c:ext xmlns:c16="http://schemas.microsoft.com/office/drawing/2014/chart" uri="{C3380CC4-5D6E-409C-BE32-E72D297353CC}">
              <c16:uniqueId val="{00000003-5F6E-481A-BA8E-D4FF09576904}"/>
            </c:ext>
          </c:extLst>
        </c:ser>
        <c:dLbls>
          <c:showLegendKey val="0"/>
          <c:showVal val="0"/>
          <c:showCatName val="0"/>
          <c:showSerName val="0"/>
          <c:showPercent val="0"/>
          <c:showBubbleSize val="0"/>
        </c:dLbls>
        <c:gapWidth val="219"/>
        <c:overlap val="-27"/>
        <c:axId val="1821667023"/>
        <c:axId val="1821667439"/>
      </c:barChart>
      <c:catAx>
        <c:axId val="182166702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1667439"/>
        <c:crosses val="autoZero"/>
        <c:auto val="1"/>
        <c:lblAlgn val="ctr"/>
        <c:lblOffset val="100"/>
        <c:noMultiLvlLbl val="0"/>
      </c:catAx>
      <c:valAx>
        <c:axId val="182166743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1667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Edoxaban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Sheet1!$J$1</c:f>
              <c:strCache>
                <c:ptCount val="1"/>
                <c:pt idx="0">
                  <c:v>% CrCl calculated </c:v>
                </c:pt>
              </c:strCache>
            </c:strRef>
          </c:tx>
          <c:spPr>
            <a:solidFill>
              <a:schemeClr val="accent1"/>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Sheet1!$J$2:$J$19</c:f>
              <c:numCache>
                <c:formatCode>General</c:formatCode>
                <c:ptCount val="18"/>
                <c:pt idx="0">
                  <c:v>93.8</c:v>
                </c:pt>
                <c:pt idx="1">
                  <c:v>61.8</c:v>
                </c:pt>
                <c:pt idx="2">
                  <c:v>32.200000000000003</c:v>
                </c:pt>
                <c:pt idx="3">
                  <c:v>74.2</c:v>
                </c:pt>
                <c:pt idx="4">
                  <c:v>92.5</c:v>
                </c:pt>
                <c:pt idx="5">
                  <c:v>44.6</c:v>
                </c:pt>
                <c:pt idx="6">
                  <c:v>60.1</c:v>
                </c:pt>
                <c:pt idx="7">
                  <c:v>79.2</c:v>
                </c:pt>
                <c:pt idx="8">
                  <c:v>85</c:v>
                </c:pt>
                <c:pt idx="9">
                  <c:v>62.8</c:v>
                </c:pt>
                <c:pt idx="10">
                  <c:v>47.8</c:v>
                </c:pt>
                <c:pt idx="11">
                  <c:v>83.3</c:v>
                </c:pt>
                <c:pt idx="12">
                  <c:v>84</c:v>
                </c:pt>
                <c:pt idx="13">
                  <c:v>46.8</c:v>
                </c:pt>
                <c:pt idx="14">
                  <c:v>34.4</c:v>
                </c:pt>
                <c:pt idx="15">
                  <c:v>70.8</c:v>
                </c:pt>
                <c:pt idx="16">
                  <c:v>51.9</c:v>
                </c:pt>
                <c:pt idx="17">
                  <c:v>67.3</c:v>
                </c:pt>
              </c:numCache>
            </c:numRef>
          </c:val>
          <c:extLst>
            <c:ext xmlns:c16="http://schemas.microsoft.com/office/drawing/2014/chart" uri="{C3380CC4-5D6E-409C-BE32-E72D297353CC}">
              <c16:uniqueId val="{00000000-2642-4336-B9F4-487EF098DB87}"/>
            </c:ext>
          </c:extLst>
        </c:ser>
        <c:ser>
          <c:idx val="1"/>
          <c:order val="1"/>
          <c:tx>
            <c:strRef>
              <c:f>Sheet1!$K$1</c:f>
              <c:strCache>
                <c:ptCount val="1"/>
                <c:pt idx="0">
                  <c:v>% Correct Dose</c:v>
                </c:pt>
              </c:strCache>
            </c:strRef>
          </c:tx>
          <c:spPr>
            <a:solidFill>
              <a:schemeClr val="accent2"/>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Sheet1!$K$2:$K$19</c:f>
              <c:numCache>
                <c:formatCode>General</c:formatCode>
                <c:ptCount val="18"/>
                <c:pt idx="0">
                  <c:v>93.8</c:v>
                </c:pt>
                <c:pt idx="1">
                  <c:v>92.9</c:v>
                </c:pt>
                <c:pt idx="2">
                  <c:v>24.5</c:v>
                </c:pt>
                <c:pt idx="3">
                  <c:v>67.7</c:v>
                </c:pt>
                <c:pt idx="4">
                  <c:v>91.8</c:v>
                </c:pt>
                <c:pt idx="5">
                  <c:v>92.9</c:v>
                </c:pt>
                <c:pt idx="6">
                  <c:v>70.8</c:v>
                </c:pt>
                <c:pt idx="7">
                  <c:v>81</c:v>
                </c:pt>
                <c:pt idx="8">
                  <c:v>88</c:v>
                </c:pt>
                <c:pt idx="9">
                  <c:v>85</c:v>
                </c:pt>
                <c:pt idx="10">
                  <c:v>42.5</c:v>
                </c:pt>
                <c:pt idx="11">
                  <c:v>86.1</c:v>
                </c:pt>
                <c:pt idx="12">
                  <c:v>88.7</c:v>
                </c:pt>
                <c:pt idx="13">
                  <c:v>90.9</c:v>
                </c:pt>
                <c:pt idx="14">
                  <c:v>93.5</c:v>
                </c:pt>
                <c:pt idx="15">
                  <c:v>77.5</c:v>
                </c:pt>
                <c:pt idx="16">
                  <c:v>81.8</c:v>
                </c:pt>
                <c:pt idx="17">
                  <c:v>99.1</c:v>
                </c:pt>
              </c:numCache>
            </c:numRef>
          </c:val>
          <c:extLst>
            <c:ext xmlns:c16="http://schemas.microsoft.com/office/drawing/2014/chart" uri="{C3380CC4-5D6E-409C-BE32-E72D297353CC}">
              <c16:uniqueId val="{00000001-2642-4336-B9F4-487EF098DB87}"/>
            </c:ext>
          </c:extLst>
        </c:ser>
        <c:ser>
          <c:idx val="2"/>
          <c:order val="2"/>
          <c:tx>
            <c:strRef>
              <c:f>Sheet1!$L$1</c:f>
              <c:strCache>
                <c:ptCount val="1"/>
                <c:pt idx="0">
                  <c:v>% Dose High</c:v>
                </c:pt>
              </c:strCache>
            </c:strRef>
          </c:tx>
          <c:spPr>
            <a:solidFill>
              <a:schemeClr val="accent3"/>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Sheet1!$L$2:$L$19</c:f>
              <c:numCache>
                <c:formatCode>General</c:formatCode>
                <c:ptCount val="18"/>
                <c:pt idx="0">
                  <c:v>6.3</c:v>
                </c:pt>
                <c:pt idx="1">
                  <c:v>5.3</c:v>
                </c:pt>
                <c:pt idx="2">
                  <c:v>4.9000000000000004</c:v>
                </c:pt>
                <c:pt idx="3">
                  <c:v>8.6</c:v>
                </c:pt>
                <c:pt idx="4">
                  <c:v>5.4</c:v>
                </c:pt>
                <c:pt idx="5">
                  <c:v>3.6</c:v>
                </c:pt>
                <c:pt idx="6">
                  <c:v>2.9</c:v>
                </c:pt>
                <c:pt idx="7">
                  <c:v>4.2</c:v>
                </c:pt>
                <c:pt idx="8">
                  <c:v>0.8</c:v>
                </c:pt>
                <c:pt idx="9">
                  <c:v>7.1</c:v>
                </c:pt>
                <c:pt idx="10">
                  <c:v>0.9</c:v>
                </c:pt>
                <c:pt idx="11">
                  <c:v>5.8</c:v>
                </c:pt>
                <c:pt idx="12">
                  <c:v>5.8</c:v>
                </c:pt>
                <c:pt idx="13">
                  <c:v>7.8</c:v>
                </c:pt>
                <c:pt idx="14">
                  <c:v>2.2000000000000002</c:v>
                </c:pt>
                <c:pt idx="15">
                  <c:v>1.1000000000000001</c:v>
                </c:pt>
                <c:pt idx="16">
                  <c:v>3.9</c:v>
                </c:pt>
                <c:pt idx="17">
                  <c:v>0</c:v>
                </c:pt>
              </c:numCache>
            </c:numRef>
          </c:val>
          <c:extLst>
            <c:ext xmlns:c16="http://schemas.microsoft.com/office/drawing/2014/chart" uri="{C3380CC4-5D6E-409C-BE32-E72D297353CC}">
              <c16:uniqueId val="{00000002-2642-4336-B9F4-487EF098DB87}"/>
            </c:ext>
          </c:extLst>
        </c:ser>
        <c:ser>
          <c:idx val="3"/>
          <c:order val="3"/>
          <c:tx>
            <c:strRef>
              <c:f>Sheet1!$M$1</c:f>
              <c:strCache>
                <c:ptCount val="1"/>
                <c:pt idx="0">
                  <c:v>% Dose Low</c:v>
                </c:pt>
              </c:strCache>
            </c:strRef>
          </c:tx>
          <c:spPr>
            <a:solidFill>
              <a:schemeClr val="accent4"/>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Sheet1!$M$2:$M$19</c:f>
              <c:numCache>
                <c:formatCode>General</c:formatCode>
                <c:ptCount val="18"/>
                <c:pt idx="0">
                  <c:v>0</c:v>
                </c:pt>
                <c:pt idx="1">
                  <c:v>1.8</c:v>
                </c:pt>
                <c:pt idx="2">
                  <c:v>2.8</c:v>
                </c:pt>
                <c:pt idx="3">
                  <c:v>1.1000000000000001</c:v>
                </c:pt>
                <c:pt idx="4">
                  <c:v>2.7</c:v>
                </c:pt>
                <c:pt idx="5">
                  <c:v>7.1</c:v>
                </c:pt>
                <c:pt idx="6">
                  <c:v>3.3</c:v>
                </c:pt>
                <c:pt idx="7">
                  <c:v>3</c:v>
                </c:pt>
                <c:pt idx="8">
                  <c:v>0</c:v>
                </c:pt>
                <c:pt idx="9">
                  <c:v>4.4000000000000004</c:v>
                </c:pt>
                <c:pt idx="10">
                  <c:v>0.9</c:v>
                </c:pt>
                <c:pt idx="11">
                  <c:v>2.2999999999999998</c:v>
                </c:pt>
                <c:pt idx="12">
                  <c:v>5.4</c:v>
                </c:pt>
                <c:pt idx="13">
                  <c:v>1.3</c:v>
                </c:pt>
                <c:pt idx="14">
                  <c:v>4.3</c:v>
                </c:pt>
                <c:pt idx="15">
                  <c:v>0</c:v>
                </c:pt>
                <c:pt idx="16">
                  <c:v>18.100000000000001</c:v>
                </c:pt>
                <c:pt idx="17">
                  <c:v>0.9</c:v>
                </c:pt>
              </c:numCache>
            </c:numRef>
          </c:val>
          <c:extLst>
            <c:ext xmlns:c16="http://schemas.microsoft.com/office/drawing/2014/chart" uri="{C3380CC4-5D6E-409C-BE32-E72D297353CC}">
              <c16:uniqueId val="{00000003-2642-4336-B9F4-487EF098DB87}"/>
            </c:ext>
          </c:extLst>
        </c:ser>
        <c:dLbls>
          <c:showLegendKey val="0"/>
          <c:showVal val="0"/>
          <c:showCatName val="0"/>
          <c:showSerName val="0"/>
          <c:showPercent val="0"/>
          <c:showBubbleSize val="0"/>
        </c:dLbls>
        <c:gapWidth val="219"/>
        <c:overlap val="-27"/>
        <c:axId val="1326305983"/>
        <c:axId val="1326307647"/>
      </c:barChart>
      <c:catAx>
        <c:axId val="1326305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307647"/>
        <c:crosses val="autoZero"/>
        <c:auto val="1"/>
        <c:lblAlgn val="ctr"/>
        <c:lblOffset val="100"/>
        <c:noMultiLvlLbl val="0"/>
      </c:catAx>
      <c:valAx>
        <c:axId val="132630764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305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Rivaroxaban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Sheet1!$N$1</c:f>
              <c:strCache>
                <c:ptCount val="1"/>
                <c:pt idx="0">
                  <c:v>% CrCl calculated </c:v>
                </c:pt>
              </c:strCache>
            </c:strRef>
          </c:tx>
          <c:spPr>
            <a:solidFill>
              <a:schemeClr val="accent1"/>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Sheet1!$N$2:$N$19</c:f>
              <c:numCache>
                <c:formatCode>General</c:formatCode>
                <c:ptCount val="18"/>
                <c:pt idx="0">
                  <c:v>86.7</c:v>
                </c:pt>
                <c:pt idx="1">
                  <c:v>78.099999999999994</c:v>
                </c:pt>
                <c:pt idx="2">
                  <c:v>28.2</c:v>
                </c:pt>
                <c:pt idx="3">
                  <c:v>63.3</c:v>
                </c:pt>
                <c:pt idx="4">
                  <c:v>91.4</c:v>
                </c:pt>
                <c:pt idx="5">
                  <c:v>36.6</c:v>
                </c:pt>
                <c:pt idx="6">
                  <c:v>50.5</c:v>
                </c:pt>
                <c:pt idx="7">
                  <c:v>68.8</c:v>
                </c:pt>
                <c:pt idx="8">
                  <c:v>88.3</c:v>
                </c:pt>
                <c:pt idx="9">
                  <c:v>45.9</c:v>
                </c:pt>
                <c:pt idx="10">
                  <c:v>25.1</c:v>
                </c:pt>
                <c:pt idx="11">
                  <c:v>76.5</c:v>
                </c:pt>
                <c:pt idx="12">
                  <c:v>86.7</c:v>
                </c:pt>
                <c:pt idx="13">
                  <c:v>39.6</c:v>
                </c:pt>
                <c:pt idx="14">
                  <c:v>26.4</c:v>
                </c:pt>
                <c:pt idx="15">
                  <c:v>76.099999999999994</c:v>
                </c:pt>
                <c:pt idx="16">
                  <c:v>48</c:v>
                </c:pt>
                <c:pt idx="17">
                  <c:v>53</c:v>
                </c:pt>
              </c:numCache>
            </c:numRef>
          </c:val>
          <c:extLst>
            <c:ext xmlns:c16="http://schemas.microsoft.com/office/drawing/2014/chart" uri="{C3380CC4-5D6E-409C-BE32-E72D297353CC}">
              <c16:uniqueId val="{00000000-6BAC-4F31-B283-47604975EBB9}"/>
            </c:ext>
          </c:extLst>
        </c:ser>
        <c:ser>
          <c:idx val="1"/>
          <c:order val="1"/>
          <c:tx>
            <c:strRef>
              <c:f>Sheet1!$O$1</c:f>
              <c:strCache>
                <c:ptCount val="1"/>
                <c:pt idx="0">
                  <c:v>% Correct Dose</c:v>
                </c:pt>
              </c:strCache>
            </c:strRef>
          </c:tx>
          <c:spPr>
            <a:solidFill>
              <a:schemeClr val="accent2"/>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Sheet1!$O$2:$O$19</c:f>
              <c:numCache>
                <c:formatCode>General</c:formatCode>
                <c:ptCount val="18"/>
                <c:pt idx="0">
                  <c:v>96.1</c:v>
                </c:pt>
                <c:pt idx="1">
                  <c:v>96.9</c:v>
                </c:pt>
                <c:pt idx="2">
                  <c:v>27.8</c:v>
                </c:pt>
                <c:pt idx="3">
                  <c:v>58</c:v>
                </c:pt>
                <c:pt idx="4">
                  <c:v>91.7</c:v>
                </c:pt>
                <c:pt idx="5">
                  <c:v>83.1</c:v>
                </c:pt>
                <c:pt idx="6">
                  <c:v>70.7</c:v>
                </c:pt>
                <c:pt idx="7">
                  <c:v>80.8</c:v>
                </c:pt>
                <c:pt idx="8">
                  <c:v>82.2</c:v>
                </c:pt>
                <c:pt idx="9">
                  <c:v>82.2</c:v>
                </c:pt>
                <c:pt idx="10">
                  <c:v>28.4</c:v>
                </c:pt>
                <c:pt idx="11">
                  <c:v>83.5</c:v>
                </c:pt>
                <c:pt idx="12">
                  <c:v>81.8</c:v>
                </c:pt>
                <c:pt idx="13">
                  <c:v>93.3</c:v>
                </c:pt>
                <c:pt idx="14">
                  <c:v>95.9</c:v>
                </c:pt>
                <c:pt idx="15">
                  <c:v>80.599999999999994</c:v>
                </c:pt>
                <c:pt idx="16">
                  <c:v>90.5</c:v>
                </c:pt>
                <c:pt idx="17">
                  <c:v>90.6</c:v>
                </c:pt>
              </c:numCache>
            </c:numRef>
          </c:val>
          <c:extLst>
            <c:ext xmlns:c16="http://schemas.microsoft.com/office/drawing/2014/chart" uri="{C3380CC4-5D6E-409C-BE32-E72D297353CC}">
              <c16:uniqueId val="{00000001-6BAC-4F31-B283-47604975EBB9}"/>
            </c:ext>
          </c:extLst>
        </c:ser>
        <c:ser>
          <c:idx val="2"/>
          <c:order val="2"/>
          <c:tx>
            <c:strRef>
              <c:f>Sheet1!$P$1</c:f>
              <c:strCache>
                <c:ptCount val="1"/>
                <c:pt idx="0">
                  <c:v>% Dose High</c:v>
                </c:pt>
              </c:strCache>
            </c:strRef>
          </c:tx>
          <c:spPr>
            <a:solidFill>
              <a:schemeClr val="accent3"/>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Sheet1!$P$2:$P$19</c:f>
              <c:numCache>
                <c:formatCode>General</c:formatCode>
                <c:ptCount val="18"/>
                <c:pt idx="0">
                  <c:v>3.6</c:v>
                </c:pt>
                <c:pt idx="1">
                  <c:v>3.1</c:v>
                </c:pt>
                <c:pt idx="2">
                  <c:v>0.4</c:v>
                </c:pt>
                <c:pt idx="3">
                  <c:v>7.5</c:v>
                </c:pt>
                <c:pt idx="4">
                  <c:v>8</c:v>
                </c:pt>
                <c:pt idx="5">
                  <c:v>8.6999999999999993</c:v>
                </c:pt>
                <c:pt idx="6">
                  <c:v>2.4</c:v>
                </c:pt>
                <c:pt idx="7">
                  <c:v>8.6999999999999993</c:v>
                </c:pt>
                <c:pt idx="8">
                  <c:v>0.9</c:v>
                </c:pt>
                <c:pt idx="9">
                  <c:v>11</c:v>
                </c:pt>
                <c:pt idx="10">
                  <c:v>4.5999999999999996</c:v>
                </c:pt>
                <c:pt idx="11">
                  <c:v>7.3</c:v>
                </c:pt>
                <c:pt idx="12">
                  <c:v>12.9</c:v>
                </c:pt>
                <c:pt idx="13">
                  <c:v>5</c:v>
                </c:pt>
                <c:pt idx="14">
                  <c:v>3.3</c:v>
                </c:pt>
                <c:pt idx="15">
                  <c:v>0</c:v>
                </c:pt>
                <c:pt idx="16">
                  <c:v>6.1</c:v>
                </c:pt>
                <c:pt idx="17">
                  <c:v>8.4</c:v>
                </c:pt>
              </c:numCache>
            </c:numRef>
          </c:val>
          <c:extLst>
            <c:ext xmlns:c16="http://schemas.microsoft.com/office/drawing/2014/chart" uri="{C3380CC4-5D6E-409C-BE32-E72D297353CC}">
              <c16:uniqueId val="{00000002-6BAC-4F31-B283-47604975EBB9}"/>
            </c:ext>
          </c:extLst>
        </c:ser>
        <c:ser>
          <c:idx val="3"/>
          <c:order val="3"/>
          <c:tx>
            <c:strRef>
              <c:f>Sheet1!$Q$1</c:f>
              <c:strCache>
                <c:ptCount val="1"/>
                <c:pt idx="0">
                  <c:v>% Dose Low</c:v>
                </c:pt>
              </c:strCache>
            </c:strRef>
          </c:tx>
          <c:spPr>
            <a:solidFill>
              <a:schemeClr val="accent4"/>
            </a:solidFill>
            <a:ln>
              <a:noFill/>
            </a:ln>
            <a:effectLst/>
          </c:spPr>
          <c:invertIfNegative val="0"/>
          <c:cat>
            <c:strRef>
              <c:f>Sheet1!$A$2:$A$19</c:f>
              <c:strCache>
                <c:ptCount val="18"/>
                <c:pt idx="0">
                  <c:v>Blandford</c:v>
                </c:pt>
                <c:pt idx="1">
                  <c:v>Bournemouth East</c:v>
                </c:pt>
                <c:pt idx="2">
                  <c:v>CENTRAL Bournemouth</c:v>
                </c:pt>
                <c:pt idx="3">
                  <c:v>Christchurch</c:v>
                </c:pt>
                <c:pt idx="4">
                  <c:v>Crane Valley</c:v>
                </c:pt>
                <c:pt idx="5">
                  <c:v>Jurassic Coast</c:v>
                </c:pt>
                <c:pt idx="6">
                  <c:v>Mid Dorset</c:v>
                </c:pt>
                <c:pt idx="7">
                  <c:v>North Bournemouth</c:v>
                </c:pt>
                <c:pt idx="8">
                  <c:v>Poole Bay</c:v>
                </c:pt>
                <c:pt idx="9">
                  <c:v>Poole Central</c:v>
                </c:pt>
                <c:pt idx="10">
                  <c:v>Poole North</c:v>
                </c:pt>
                <c:pt idx="11">
                  <c:v>Purbeck</c:v>
                </c:pt>
                <c:pt idx="12">
                  <c:v>Sherborne</c:v>
                </c:pt>
                <c:pt idx="13">
                  <c:v>Shore Medical</c:v>
                </c:pt>
                <c:pt idx="14">
                  <c:v>South Coast Medical</c:v>
                </c:pt>
                <c:pt idx="15">
                  <c:v>Vale</c:v>
                </c:pt>
                <c:pt idx="16">
                  <c:v>Weymouth</c:v>
                </c:pt>
                <c:pt idx="17">
                  <c:v>Wimborne</c:v>
                </c:pt>
              </c:strCache>
            </c:strRef>
          </c:cat>
          <c:val>
            <c:numRef>
              <c:f>Sheet1!$Q$2:$Q$19</c:f>
              <c:numCache>
                <c:formatCode>General</c:formatCode>
                <c:ptCount val="18"/>
                <c:pt idx="0">
                  <c:v>0.3</c:v>
                </c:pt>
                <c:pt idx="1">
                  <c:v>0</c:v>
                </c:pt>
                <c:pt idx="2">
                  <c:v>0</c:v>
                </c:pt>
                <c:pt idx="3">
                  <c:v>1.6</c:v>
                </c:pt>
                <c:pt idx="4">
                  <c:v>0.3</c:v>
                </c:pt>
                <c:pt idx="5">
                  <c:v>1.7</c:v>
                </c:pt>
                <c:pt idx="6">
                  <c:v>0.6</c:v>
                </c:pt>
                <c:pt idx="7">
                  <c:v>0.3</c:v>
                </c:pt>
                <c:pt idx="8">
                  <c:v>0</c:v>
                </c:pt>
                <c:pt idx="9">
                  <c:v>2.6</c:v>
                </c:pt>
                <c:pt idx="10">
                  <c:v>0.5</c:v>
                </c:pt>
                <c:pt idx="11">
                  <c:v>2</c:v>
                </c:pt>
                <c:pt idx="12">
                  <c:v>5.3</c:v>
                </c:pt>
                <c:pt idx="13">
                  <c:v>1.7</c:v>
                </c:pt>
                <c:pt idx="14">
                  <c:v>0.8</c:v>
                </c:pt>
                <c:pt idx="15">
                  <c:v>0</c:v>
                </c:pt>
                <c:pt idx="16">
                  <c:v>2.9</c:v>
                </c:pt>
                <c:pt idx="17">
                  <c:v>1.1000000000000001</c:v>
                </c:pt>
              </c:numCache>
            </c:numRef>
          </c:val>
          <c:extLst>
            <c:ext xmlns:c16="http://schemas.microsoft.com/office/drawing/2014/chart" uri="{C3380CC4-5D6E-409C-BE32-E72D297353CC}">
              <c16:uniqueId val="{00000003-6BAC-4F31-B283-47604975EBB9}"/>
            </c:ext>
          </c:extLst>
        </c:ser>
        <c:dLbls>
          <c:showLegendKey val="0"/>
          <c:showVal val="0"/>
          <c:showCatName val="0"/>
          <c:showSerName val="0"/>
          <c:showPercent val="0"/>
          <c:showBubbleSize val="0"/>
        </c:dLbls>
        <c:gapWidth val="219"/>
        <c:overlap val="-27"/>
        <c:axId val="1977748047"/>
        <c:axId val="1977758031"/>
      </c:barChart>
      <c:catAx>
        <c:axId val="1977748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758031"/>
        <c:crosses val="autoZero"/>
        <c:auto val="1"/>
        <c:lblAlgn val="ctr"/>
        <c:lblOffset val="100"/>
        <c:noMultiLvlLbl val="0"/>
      </c:catAx>
      <c:valAx>
        <c:axId val="197775803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7748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2" ma:contentTypeDescription="Create a new document." ma:contentTypeScope="" ma:versionID="f7594caa82bba676abc1866a258309b1">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e751a18b85b8a748e40d28cf8ecbe43"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e48db1-6413-4421-93ff-c771958d5b59" xsi:nil="true"/>
    <lcf76f155ced4ddcb4097134ff3c332f xmlns="75f2f1f1-c8e8-4ae2-b5c9-1df9fd3534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5CFFBB-70E9-4664-B295-C08EFE95FA0F}"/>
</file>

<file path=customXml/itemProps2.xml><?xml version="1.0" encoding="utf-8"?>
<ds:datastoreItem xmlns:ds="http://schemas.openxmlformats.org/officeDocument/2006/customXml" ds:itemID="{05E9F1CD-C397-429A-A297-122831C079A0}">
  <ds:schemaRefs>
    <ds:schemaRef ds:uri="http://schemas.microsoft.com/sharepoint/v3/contenttype/forms"/>
  </ds:schemaRefs>
</ds:datastoreItem>
</file>

<file path=customXml/itemProps3.xml><?xml version="1.0" encoding="utf-8"?>
<ds:datastoreItem xmlns:ds="http://schemas.openxmlformats.org/officeDocument/2006/customXml" ds:itemID="{3F08860C-29B6-4F37-9E65-B247E16E7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2310</Words>
  <Characters>13169</Characters>
  <Application>Microsoft Office Word</Application>
  <DocSecurity>0</DocSecurity>
  <Lines>109</Lines>
  <Paragraphs>30</Paragraphs>
  <ScaleCrop>false</ScaleCrop>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Cruickshank</dc:creator>
  <cp:keywords/>
  <dc:description/>
  <cp:lastModifiedBy>Martin, Martine (Dorset CCG)</cp:lastModifiedBy>
  <cp:revision>135</cp:revision>
  <cp:lastPrinted>2022-04-29T14:30:00Z</cp:lastPrinted>
  <dcterms:created xsi:type="dcterms:W3CDTF">2022-03-21T10:36:00Z</dcterms:created>
  <dcterms:modified xsi:type="dcterms:W3CDTF">2022-04-29T14:30:00Z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0x010100FEB9A0CA2D315648B1BA2102552B83EA</vt:lpwstr>
  </property>
</Properties>
</file>