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17703" w:rsidTr="0083569B" w14:paraId="51F225BE" w14:textId="77777777">
        <w:tc>
          <w:tcPr>
            <w:tcW w:w="9016" w:type="dxa"/>
            <w:shd w:val="clear" w:color="auto" w:fill="4472C4" w:themeFill="accent1"/>
          </w:tcPr>
          <w:p w:rsidRPr="00117703" w:rsidR="00117703" w:rsidP="00F02D4E" w:rsidRDefault="00117703" w14:paraId="71467792" w14:textId="306EDFB6">
            <w:pPr>
              <w:jc w:val="center"/>
              <w:rPr>
                <w:b/>
                <w:bCs/>
                <w:sz w:val="36"/>
                <w:szCs w:val="36"/>
              </w:rPr>
            </w:pPr>
            <w:r w:rsidRPr="00117703">
              <w:rPr>
                <w:b/>
                <w:bCs/>
                <w:sz w:val="36"/>
                <w:szCs w:val="36"/>
              </w:rPr>
              <w:t>DOAC Review for Non-Valvular Atrial Fibrillation (NV-AF)  Frequently Asked Questions</w:t>
            </w:r>
          </w:p>
          <w:p w:rsidR="00117703" w:rsidRDefault="00117703" w14:paraId="1546A344" w14:textId="77777777"/>
        </w:tc>
      </w:tr>
    </w:tbl>
    <w:p w:rsidR="00891ADE" w:rsidRDefault="00891ADE" w14:paraId="6EA816EC" w14:textId="19052AC3"/>
    <w:p w:rsidRPr="00455FDA" w:rsidR="00117703" w:rsidRDefault="0083569B" w14:paraId="76464B16" w14:textId="127555ED">
      <w:pPr>
        <w:rPr>
          <w:b/>
          <w:bCs/>
          <w:sz w:val="28"/>
          <w:szCs w:val="28"/>
        </w:rPr>
      </w:pPr>
      <w:r w:rsidRPr="00455FDA">
        <w:rPr>
          <w:b/>
          <w:bCs/>
          <w:sz w:val="28"/>
          <w:szCs w:val="28"/>
        </w:rPr>
        <w:t>What is non-valvular atrial fibrillation (NV-AF)?</w:t>
      </w:r>
    </w:p>
    <w:p w:rsidRPr="0083569B" w:rsidR="0083569B" w:rsidP="0083569B" w:rsidRDefault="0083569B" w14:paraId="06A872F8" w14:textId="77777777">
      <w:pPr>
        <w:pStyle w:val="paragraph"/>
        <w:numPr>
          <w:ilvl w:val="0"/>
          <w:numId w:val="4"/>
        </w:numPr>
        <w:spacing w:before="0" w:beforeAutospacing="0" w:after="0" w:afterAutospacing="0"/>
        <w:jc w:val="both"/>
        <w:textAlignment w:val="baseline"/>
        <w:rPr>
          <w:rFonts w:asciiTheme="minorHAnsi" w:hAnsiTheme="minorHAnsi" w:cstheme="minorHAnsi"/>
        </w:rPr>
      </w:pPr>
      <w:r w:rsidRPr="0083569B">
        <w:rPr>
          <w:rStyle w:val="normaltextrun"/>
          <w:rFonts w:asciiTheme="minorHAnsi" w:hAnsiTheme="minorHAnsi" w:cstheme="minorHAnsi"/>
          <w:color w:val="202020"/>
        </w:rPr>
        <w:t xml:space="preserve">The most recent European Society Cardiology guidance on AF (2016) suggests replacing the historic term ‘non-valvular’ AF with reference to </w:t>
      </w:r>
      <w:r w:rsidRPr="0083569B">
        <w:rPr>
          <w:rStyle w:val="normaltextrun"/>
          <w:rFonts w:asciiTheme="minorHAnsi" w:hAnsiTheme="minorHAnsi" w:cstheme="minorHAnsi"/>
        </w:rPr>
        <w:t>the specific</w:t>
      </w:r>
      <w:r w:rsidRPr="0083569B">
        <w:rPr>
          <w:rStyle w:val="normaltextrun"/>
          <w:rFonts w:asciiTheme="minorHAnsi" w:hAnsiTheme="minorHAnsi" w:cstheme="minorHAnsi"/>
          <w:color w:val="202020"/>
        </w:rPr>
        <w:t xml:space="preserve"> underlying conditions.</w:t>
      </w:r>
      <w:r w:rsidRPr="0083569B">
        <w:rPr>
          <w:rStyle w:val="eop"/>
          <w:rFonts w:asciiTheme="minorHAnsi" w:hAnsiTheme="minorHAnsi" w:cstheme="minorHAnsi"/>
          <w:color w:val="202020"/>
        </w:rPr>
        <w:t> </w:t>
      </w:r>
    </w:p>
    <w:p w:rsidRPr="0083569B" w:rsidR="0083569B" w:rsidP="0083569B" w:rsidRDefault="0083569B" w14:paraId="074F598E" w14:textId="77777777">
      <w:pPr>
        <w:pStyle w:val="paragraph"/>
        <w:numPr>
          <w:ilvl w:val="0"/>
          <w:numId w:val="4"/>
        </w:numPr>
        <w:spacing w:before="0" w:beforeAutospacing="0" w:after="0" w:afterAutospacing="0"/>
        <w:jc w:val="both"/>
        <w:textAlignment w:val="baseline"/>
        <w:rPr>
          <w:rFonts w:asciiTheme="minorHAnsi" w:hAnsiTheme="minorHAnsi" w:cstheme="minorHAnsi"/>
        </w:rPr>
      </w:pPr>
      <w:r w:rsidRPr="0083569B">
        <w:rPr>
          <w:rStyle w:val="normaltextrun"/>
          <w:rFonts w:asciiTheme="minorHAnsi" w:hAnsiTheme="minorHAnsi" w:cstheme="minorHAnsi"/>
          <w:color w:val="202020"/>
        </w:rPr>
        <w:t xml:space="preserve">The term “Valvular AF" refers to patients with mitral stenosis (moderate or severe) or mechanical heart valves and such patients should be considered </w:t>
      </w:r>
      <w:r w:rsidRPr="0083569B">
        <w:rPr>
          <w:rStyle w:val="normaltextrun"/>
          <w:rFonts w:asciiTheme="minorHAnsi" w:hAnsiTheme="minorHAnsi" w:cstheme="minorHAnsi"/>
          <w:color w:val="202020"/>
          <w:u w:val="single"/>
        </w:rPr>
        <w:t>only</w:t>
      </w:r>
      <w:r w:rsidRPr="0083569B">
        <w:rPr>
          <w:rStyle w:val="normaltextrun"/>
          <w:rFonts w:asciiTheme="minorHAnsi" w:hAnsiTheme="minorHAnsi" w:cstheme="minorHAnsi"/>
          <w:color w:val="202020"/>
        </w:rPr>
        <w:t xml:space="preserve"> for warfarin therapy for stroke prevention.</w:t>
      </w:r>
      <w:r w:rsidRPr="0083569B">
        <w:rPr>
          <w:rStyle w:val="eop"/>
          <w:rFonts w:asciiTheme="minorHAnsi" w:hAnsiTheme="minorHAnsi" w:cstheme="minorHAnsi"/>
          <w:color w:val="202020"/>
        </w:rPr>
        <w:t> </w:t>
      </w:r>
    </w:p>
    <w:p w:rsidRPr="0083569B" w:rsidR="0083569B" w:rsidP="0083569B" w:rsidRDefault="0083569B" w14:paraId="045D22EB" w14:textId="77777777">
      <w:pPr>
        <w:pStyle w:val="paragraph"/>
        <w:numPr>
          <w:ilvl w:val="0"/>
          <w:numId w:val="4"/>
        </w:numPr>
        <w:spacing w:before="0" w:beforeAutospacing="0" w:after="0" w:afterAutospacing="0"/>
        <w:jc w:val="both"/>
        <w:textAlignment w:val="baseline"/>
        <w:rPr>
          <w:rFonts w:asciiTheme="minorHAnsi" w:hAnsiTheme="minorHAnsi" w:cstheme="minorHAnsi"/>
        </w:rPr>
      </w:pPr>
      <w:r w:rsidRPr="0083569B">
        <w:rPr>
          <w:rStyle w:val="normaltextrun"/>
          <w:rFonts w:asciiTheme="minorHAnsi" w:hAnsiTheme="minorHAnsi" w:cstheme="minorHAnsi"/>
          <w:color w:val="202020"/>
        </w:rPr>
        <w:t>The term “Non-valvular AF” therefore encompasses cases of AF in the absence of the above.</w:t>
      </w:r>
      <w:r w:rsidRPr="0083569B">
        <w:rPr>
          <w:rStyle w:val="eop"/>
          <w:rFonts w:asciiTheme="minorHAnsi" w:hAnsiTheme="minorHAnsi" w:cstheme="minorHAnsi"/>
          <w:color w:val="202020"/>
        </w:rPr>
        <w:t> </w:t>
      </w:r>
    </w:p>
    <w:p w:rsidRPr="0083569B" w:rsidR="0083569B" w:rsidP="0083569B" w:rsidRDefault="0083569B" w14:paraId="3CDBCE44" w14:textId="202346BA">
      <w:pPr>
        <w:pStyle w:val="paragraph"/>
        <w:numPr>
          <w:ilvl w:val="0"/>
          <w:numId w:val="4"/>
        </w:numPr>
        <w:spacing w:before="0" w:beforeAutospacing="0" w:after="0" w:afterAutospacing="0"/>
        <w:jc w:val="both"/>
        <w:textAlignment w:val="baseline"/>
        <w:rPr>
          <w:rFonts w:asciiTheme="minorHAnsi" w:hAnsiTheme="minorHAnsi" w:cstheme="minorHAnsi"/>
        </w:rPr>
      </w:pPr>
      <w:r w:rsidRPr="0083569B">
        <w:rPr>
          <w:rStyle w:val="normaltextrun"/>
          <w:rFonts w:asciiTheme="minorHAnsi" w:hAnsiTheme="minorHAnsi" w:cstheme="minorHAnsi"/>
          <w:color w:val="202020"/>
        </w:rPr>
        <w:t xml:space="preserve">Biological valve replacements, or other valvular heart conditions, such as mitral regurgitation, mild mitral stenosis, aortic stenosis, and aortic regurgitation, do not tend to result in conditions of low flow in the left atrium, and therefore are not thought to further increase the risk of thromboembolism brought by AF. This group of patients, when it comes </w:t>
      </w:r>
      <w:proofErr w:type="gramStart"/>
      <w:r w:rsidRPr="0083569B">
        <w:rPr>
          <w:rStyle w:val="normaltextrun"/>
          <w:rFonts w:asciiTheme="minorHAnsi" w:hAnsiTheme="minorHAnsi" w:cstheme="minorHAnsi"/>
          <w:color w:val="202020"/>
        </w:rPr>
        <w:t>to choice</w:t>
      </w:r>
      <w:proofErr w:type="gramEnd"/>
      <w:r w:rsidRPr="0083569B">
        <w:rPr>
          <w:rStyle w:val="normaltextrun"/>
          <w:rFonts w:asciiTheme="minorHAnsi" w:hAnsiTheme="minorHAnsi" w:cstheme="minorHAnsi"/>
          <w:color w:val="202020"/>
        </w:rPr>
        <w:t xml:space="preserve"> of oral anticoagulation, can also be included   under the term non-valvular.</w:t>
      </w:r>
      <w:r w:rsidRPr="0083569B">
        <w:rPr>
          <w:rStyle w:val="eop"/>
          <w:rFonts w:asciiTheme="minorHAnsi" w:hAnsiTheme="minorHAnsi" w:cstheme="minorHAnsi"/>
          <w:color w:val="202020"/>
        </w:rPr>
        <w:t> </w:t>
      </w:r>
    </w:p>
    <w:p w:rsidR="0083569B" w:rsidP="0083569B" w:rsidRDefault="0083569B" w14:paraId="36778368" w14:textId="4AF0DED3">
      <w:pPr>
        <w:rPr>
          <w:b/>
          <w:bCs/>
          <w:sz w:val="24"/>
          <w:szCs w:val="24"/>
        </w:rPr>
      </w:pPr>
    </w:p>
    <w:p w:rsidRPr="0083569B" w:rsidR="0083569B" w:rsidP="0083569B" w:rsidRDefault="0083569B" w14:paraId="15A1283C" w14:textId="3A6E2BC1">
      <w:pPr>
        <w:rPr>
          <w:rFonts w:cstheme="minorHAnsi"/>
          <w:b/>
          <w:bCs/>
          <w:sz w:val="24"/>
          <w:szCs w:val="24"/>
        </w:rPr>
      </w:pPr>
      <w:r w:rsidRPr="00455FDA">
        <w:rPr>
          <w:rFonts w:cstheme="minorHAnsi"/>
          <w:b/>
          <w:bCs/>
          <w:sz w:val="28"/>
          <w:szCs w:val="28"/>
        </w:rPr>
        <w:t xml:space="preserve">Is </w:t>
      </w:r>
      <w:proofErr w:type="spellStart"/>
      <w:r w:rsidRPr="00455FDA">
        <w:rPr>
          <w:rFonts w:cstheme="minorHAnsi"/>
          <w:b/>
          <w:bCs/>
          <w:sz w:val="28"/>
          <w:szCs w:val="28"/>
        </w:rPr>
        <w:t>Edoxaban</w:t>
      </w:r>
      <w:proofErr w:type="spellEnd"/>
      <w:r w:rsidRPr="00455FDA">
        <w:rPr>
          <w:rFonts w:cstheme="minorHAnsi"/>
          <w:b/>
          <w:bCs/>
          <w:sz w:val="28"/>
          <w:szCs w:val="28"/>
        </w:rPr>
        <w:t xml:space="preserve"> as good as the other DOACs</w:t>
      </w:r>
      <w:r w:rsidRPr="0083569B">
        <w:rPr>
          <w:rFonts w:cstheme="minorHAnsi"/>
          <w:b/>
          <w:bCs/>
          <w:sz w:val="24"/>
          <w:szCs w:val="24"/>
        </w:rPr>
        <w:t>?</w:t>
      </w:r>
    </w:p>
    <w:p w:rsidRPr="0083569B" w:rsidR="0083569B" w:rsidP="0083569B" w:rsidRDefault="0083569B" w14:paraId="4CFC3D70" w14:textId="77777777">
      <w:pPr>
        <w:pStyle w:val="ListParagraph"/>
        <w:numPr>
          <w:ilvl w:val="0"/>
          <w:numId w:val="6"/>
        </w:numPr>
        <w:spacing w:after="0" w:line="240" w:lineRule="auto"/>
        <w:jc w:val="both"/>
        <w:textAlignment w:val="baseline"/>
        <w:rPr>
          <w:rFonts w:eastAsia="Times New Roman" w:cstheme="minorHAnsi"/>
          <w:sz w:val="24"/>
          <w:szCs w:val="24"/>
          <w:lang w:eastAsia="en-GB"/>
        </w:rPr>
      </w:pPr>
      <w:r w:rsidRPr="0083569B">
        <w:rPr>
          <w:rFonts w:eastAsia="Times New Roman" w:cstheme="minorHAnsi"/>
          <w:sz w:val="24"/>
          <w:szCs w:val="24"/>
          <w:lang w:eastAsia="en-GB"/>
        </w:rPr>
        <w:t xml:space="preserve">The rebate on </w:t>
      </w:r>
      <w:proofErr w:type="spellStart"/>
      <w:r w:rsidRPr="0083569B">
        <w:rPr>
          <w:rFonts w:eastAsia="Times New Roman" w:cstheme="minorHAnsi"/>
          <w:sz w:val="24"/>
          <w:szCs w:val="24"/>
          <w:lang w:eastAsia="en-GB"/>
        </w:rPr>
        <w:t>Edoxaban</w:t>
      </w:r>
      <w:proofErr w:type="spellEnd"/>
      <w:r w:rsidRPr="0083569B">
        <w:rPr>
          <w:rFonts w:eastAsia="Times New Roman" w:cstheme="minorHAnsi"/>
          <w:sz w:val="24"/>
          <w:szCs w:val="24"/>
          <w:lang w:eastAsia="en-GB"/>
        </w:rPr>
        <w:t xml:space="preserve"> is in place for five years. </w:t>
      </w:r>
    </w:p>
    <w:p w:rsidRPr="0083569B" w:rsidR="0083569B" w:rsidP="0083569B" w:rsidRDefault="0083569B" w14:paraId="03CDCED4" w14:textId="77777777">
      <w:pPr>
        <w:pStyle w:val="ListParagraph"/>
        <w:numPr>
          <w:ilvl w:val="0"/>
          <w:numId w:val="6"/>
        </w:numPr>
        <w:spacing w:after="0" w:line="240" w:lineRule="auto"/>
        <w:jc w:val="both"/>
        <w:textAlignment w:val="baseline"/>
        <w:rPr>
          <w:rFonts w:eastAsia="Times New Roman" w:cstheme="minorHAnsi"/>
          <w:sz w:val="24"/>
          <w:szCs w:val="24"/>
          <w:lang w:eastAsia="en-GB"/>
        </w:rPr>
      </w:pPr>
      <w:r w:rsidRPr="0083569B">
        <w:rPr>
          <w:rFonts w:eastAsia="Times New Roman" w:cstheme="minorHAnsi"/>
          <w:sz w:val="24"/>
          <w:szCs w:val="24"/>
          <w:lang w:eastAsia="en-GB"/>
        </w:rPr>
        <w:t xml:space="preserve">The manufacturers of other DOACs have not reduced the price or offered     sufficient rebates to review the decision of </w:t>
      </w:r>
      <w:proofErr w:type="spellStart"/>
      <w:r w:rsidRPr="0083569B">
        <w:rPr>
          <w:rFonts w:eastAsia="Times New Roman" w:cstheme="minorHAnsi"/>
          <w:sz w:val="24"/>
          <w:szCs w:val="24"/>
          <w:lang w:eastAsia="en-GB"/>
        </w:rPr>
        <w:t>Edoxaban</w:t>
      </w:r>
      <w:proofErr w:type="spellEnd"/>
      <w:r w:rsidRPr="0083569B">
        <w:rPr>
          <w:rFonts w:eastAsia="Times New Roman" w:cstheme="minorHAnsi"/>
          <w:sz w:val="24"/>
          <w:szCs w:val="24"/>
          <w:lang w:eastAsia="en-GB"/>
        </w:rPr>
        <w:t>. </w:t>
      </w:r>
    </w:p>
    <w:p w:rsidR="0083569B" w:rsidP="0083569B" w:rsidRDefault="0083569B" w14:paraId="09844607" w14:textId="15F89068">
      <w:pPr>
        <w:pStyle w:val="ListParagraph"/>
        <w:numPr>
          <w:ilvl w:val="0"/>
          <w:numId w:val="6"/>
        </w:numPr>
        <w:spacing w:after="0" w:line="240" w:lineRule="auto"/>
        <w:jc w:val="both"/>
        <w:textAlignment w:val="baseline"/>
        <w:rPr>
          <w:rFonts w:eastAsia="Times New Roman" w:cstheme="minorHAnsi"/>
          <w:sz w:val="24"/>
          <w:szCs w:val="24"/>
          <w:lang w:eastAsia="en-GB"/>
        </w:rPr>
      </w:pPr>
      <w:r w:rsidRPr="0083569B">
        <w:rPr>
          <w:rFonts w:eastAsia="Times New Roman" w:cstheme="minorHAnsi"/>
          <w:sz w:val="24"/>
          <w:szCs w:val="24"/>
          <w:lang w:eastAsia="en-GB"/>
        </w:rPr>
        <w:t xml:space="preserve">A further review will only be considered if clinical evidence emerges that another DOAC is more effective and/or safer than </w:t>
      </w:r>
      <w:proofErr w:type="spellStart"/>
      <w:r w:rsidRPr="0083569B">
        <w:rPr>
          <w:rFonts w:eastAsia="Times New Roman" w:cstheme="minorHAnsi"/>
          <w:sz w:val="24"/>
          <w:szCs w:val="24"/>
          <w:lang w:eastAsia="en-GB"/>
        </w:rPr>
        <w:t>Edoxaban</w:t>
      </w:r>
      <w:proofErr w:type="spellEnd"/>
      <w:r w:rsidRPr="0083569B">
        <w:rPr>
          <w:rFonts w:eastAsia="Times New Roman" w:cstheme="minorHAnsi"/>
          <w:sz w:val="24"/>
          <w:szCs w:val="24"/>
          <w:lang w:eastAsia="en-GB"/>
        </w:rPr>
        <w:t>; in the unlikely   event of a very significant price change of an equivalent product; or when a generic DOAC is available. </w:t>
      </w:r>
    </w:p>
    <w:p w:rsidR="0083569B" w:rsidP="0083569B" w:rsidRDefault="0083569B" w14:paraId="7BC8A89D" w14:textId="0C7856BA">
      <w:pPr>
        <w:spacing w:after="0" w:line="240" w:lineRule="auto"/>
        <w:jc w:val="both"/>
        <w:textAlignment w:val="baseline"/>
        <w:rPr>
          <w:rFonts w:eastAsia="Times New Roman" w:cstheme="minorHAnsi"/>
          <w:sz w:val="24"/>
          <w:szCs w:val="24"/>
          <w:lang w:eastAsia="en-GB"/>
        </w:rPr>
      </w:pPr>
    </w:p>
    <w:p w:rsidRPr="00455FDA" w:rsidR="0083569B" w:rsidP="2FBC56D6" w:rsidRDefault="0083569B" w14:paraId="7FA3D9F5" w14:textId="3138CE6A">
      <w:pPr>
        <w:spacing w:after="0" w:line="240" w:lineRule="auto"/>
        <w:jc w:val="both"/>
        <w:textAlignment w:val="baseline"/>
        <w:rPr>
          <w:rFonts w:eastAsia="Times New Roman" w:cs="Calibri" w:cstheme="minorAscii"/>
          <w:b w:val="1"/>
          <w:bCs w:val="1"/>
          <w:sz w:val="28"/>
          <w:szCs w:val="28"/>
          <w:lang w:eastAsia="en-GB"/>
        </w:rPr>
      </w:pPr>
      <w:r w:rsidRPr="2FBC56D6" w:rsidR="0083569B">
        <w:rPr>
          <w:rFonts w:eastAsia="Times New Roman" w:cs="Calibri" w:cstheme="minorAscii"/>
          <w:b w:val="1"/>
          <w:bCs w:val="1"/>
          <w:sz w:val="28"/>
          <w:szCs w:val="28"/>
          <w:lang w:eastAsia="en-GB"/>
        </w:rPr>
        <w:t xml:space="preserve">Which patients should not be on </w:t>
      </w:r>
      <w:r w:rsidRPr="2FBC56D6" w:rsidR="0083569B">
        <w:rPr>
          <w:rFonts w:eastAsia="Times New Roman" w:cs="Calibri" w:cstheme="minorAscii"/>
          <w:b w:val="1"/>
          <w:bCs w:val="1"/>
          <w:sz w:val="28"/>
          <w:szCs w:val="28"/>
          <w:lang w:eastAsia="en-GB"/>
        </w:rPr>
        <w:t>Edoxaban</w:t>
      </w:r>
      <w:r w:rsidRPr="2FBC56D6" w:rsidR="0083569B">
        <w:rPr>
          <w:rFonts w:eastAsia="Times New Roman" w:cs="Calibri" w:cstheme="minorAscii"/>
          <w:b w:val="1"/>
          <w:bCs w:val="1"/>
          <w:sz w:val="28"/>
          <w:szCs w:val="28"/>
          <w:lang w:eastAsia="en-GB"/>
        </w:rPr>
        <w:t>?</w:t>
      </w:r>
    </w:p>
    <w:p w:rsidRPr="0083569B" w:rsidR="001D45F4" w:rsidP="0083569B" w:rsidRDefault="001D45F4" w14:paraId="66EAE85C" w14:textId="77777777">
      <w:pPr>
        <w:spacing w:after="0" w:line="240" w:lineRule="auto"/>
        <w:jc w:val="both"/>
        <w:textAlignment w:val="baseline"/>
        <w:rPr>
          <w:rFonts w:eastAsia="Times New Roman" w:cstheme="minorHAnsi"/>
          <w:b/>
          <w:bCs/>
          <w:sz w:val="24"/>
          <w:szCs w:val="24"/>
          <w:lang w:eastAsia="en-GB"/>
        </w:rPr>
      </w:pPr>
    </w:p>
    <w:p w:rsidRPr="00455FDA" w:rsidR="001D45F4" w:rsidP="001D45F4" w:rsidRDefault="001D45F4" w14:paraId="58A33CFA" w14:textId="77777777">
      <w:pPr>
        <w:pStyle w:val="ListParagraph"/>
        <w:numPr>
          <w:ilvl w:val="0"/>
          <w:numId w:val="9"/>
        </w:numPr>
        <w:spacing w:after="0" w:line="240" w:lineRule="auto"/>
        <w:textAlignment w:val="baseline"/>
        <w:rPr>
          <w:rFonts w:eastAsia="Times New Roman" w:cstheme="minorHAnsi"/>
          <w:sz w:val="24"/>
          <w:szCs w:val="24"/>
          <w:lang w:eastAsia="en-GB"/>
        </w:rPr>
      </w:pPr>
      <w:r w:rsidRPr="00455FDA">
        <w:rPr>
          <w:rFonts w:eastAsia="Times New Roman" w:cstheme="minorHAnsi"/>
          <w:sz w:val="24"/>
          <w:szCs w:val="24"/>
          <w:lang w:eastAsia="en-GB"/>
        </w:rPr>
        <w:t>Creatinine clearance &lt;15ml/min – these patients should be on warfarin and DOACs should not be initiated. </w:t>
      </w:r>
    </w:p>
    <w:p w:rsidRPr="00455FDA" w:rsidR="001D45F4" w:rsidP="001D45F4" w:rsidRDefault="001D45F4" w14:paraId="09672E6C" w14:textId="77777777">
      <w:pPr>
        <w:pStyle w:val="ListParagraph"/>
        <w:numPr>
          <w:ilvl w:val="0"/>
          <w:numId w:val="9"/>
        </w:numPr>
        <w:spacing w:after="0" w:line="240" w:lineRule="auto"/>
        <w:jc w:val="both"/>
        <w:textAlignment w:val="baseline"/>
        <w:rPr>
          <w:rFonts w:eastAsia="Times New Roman" w:cstheme="minorHAnsi"/>
          <w:sz w:val="24"/>
          <w:szCs w:val="24"/>
          <w:lang w:eastAsia="en-GB"/>
        </w:rPr>
      </w:pPr>
      <w:r w:rsidRPr="00455FDA">
        <w:rPr>
          <w:rFonts w:eastAsia="Times New Roman" w:cstheme="minorHAnsi"/>
          <w:sz w:val="24"/>
          <w:szCs w:val="24"/>
          <w:lang w:eastAsia="en-GB"/>
        </w:rPr>
        <w:t xml:space="preserve">Creatinine clearance &lt;30ml/min. </w:t>
      </w:r>
      <w:proofErr w:type="spellStart"/>
      <w:r w:rsidRPr="00455FDA">
        <w:rPr>
          <w:rFonts w:eastAsia="Times New Roman" w:cstheme="minorHAnsi"/>
          <w:sz w:val="24"/>
          <w:szCs w:val="24"/>
          <w:lang w:eastAsia="en-GB"/>
        </w:rPr>
        <w:t>Edoxaban</w:t>
      </w:r>
      <w:proofErr w:type="spellEnd"/>
      <w:r w:rsidRPr="00455FDA">
        <w:rPr>
          <w:rFonts w:eastAsia="Times New Roman" w:cstheme="minorHAnsi"/>
          <w:sz w:val="24"/>
          <w:szCs w:val="24"/>
          <w:lang w:eastAsia="en-GB"/>
        </w:rPr>
        <w:t xml:space="preserve"> or other DOAC should be started only after specialist advise. </w:t>
      </w:r>
    </w:p>
    <w:p w:rsidRPr="00455FDA" w:rsidR="001D45F4" w:rsidP="001D45F4" w:rsidRDefault="001D45F4" w14:paraId="566C926A" w14:textId="77777777">
      <w:pPr>
        <w:pStyle w:val="ListParagraph"/>
        <w:numPr>
          <w:ilvl w:val="0"/>
          <w:numId w:val="9"/>
        </w:numPr>
        <w:spacing w:after="0" w:line="240" w:lineRule="auto"/>
        <w:jc w:val="both"/>
        <w:textAlignment w:val="baseline"/>
        <w:rPr>
          <w:rFonts w:eastAsia="Times New Roman" w:cstheme="minorHAnsi"/>
          <w:sz w:val="24"/>
          <w:szCs w:val="24"/>
          <w:lang w:eastAsia="en-GB"/>
        </w:rPr>
      </w:pPr>
      <w:proofErr w:type="spellStart"/>
      <w:r w:rsidRPr="00455FDA">
        <w:rPr>
          <w:rFonts w:eastAsia="Times New Roman" w:cstheme="minorHAnsi"/>
          <w:sz w:val="24"/>
          <w:szCs w:val="24"/>
          <w:lang w:eastAsia="en-GB"/>
        </w:rPr>
        <w:t>Edoxaban</w:t>
      </w:r>
      <w:proofErr w:type="spellEnd"/>
      <w:r w:rsidRPr="00455FDA">
        <w:rPr>
          <w:rFonts w:eastAsia="Times New Roman" w:cstheme="minorHAnsi"/>
          <w:sz w:val="24"/>
          <w:szCs w:val="24"/>
          <w:lang w:eastAsia="en-GB"/>
        </w:rPr>
        <w:t xml:space="preserve"> should not be used if the patient’s creatinine clearance is greater than 95ml/min Rivaroxaban should be considered in such patients if there are no contraindications. </w:t>
      </w:r>
    </w:p>
    <w:p w:rsidRPr="00455FDA" w:rsidR="001D45F4" w:rsidP="001D45F4" w:rsidRDefault="001D45F4" w14:paraId="1E39DAA8" w14:textId="77777777">
      <w:pPr>
        <w:pStyle w:val="ListParagraph"/>
        <w:numPr>
          <w:ilvl w:val="0"/>
          <w:numId w:val="9"/>
        </w:numPr>
        <w:spacing w:after="0" w:line="240" w:lineRule="auto"/>
        <w:jc w:val="both"/>
        <w:textAlignment w:val="baseline"/>
        <w:rPr>
          <w:rFonts w:eastAsia="Times New Roman" w:cstheme="minorHAnsi"/>
          <w:sz w:val="24"/>
          <w:szCs w:val="24"/>
          <w:lang w:eastAsia="en-GB"/>
        </w:rPr>
      </w:pPr>
      <w:r w:rsidRPr="00455FDA">
        <w:rPr>
          <w:rFonts w:eastAsia="Times New Roman" w:cstheme="minorHAnsi"/>
          <w:sz w:val="24"/>
          <w:szCs w:val="24"/>
          <w:lang w:eastAsia="en-GB"/>
        </w:rPr>
        <w:t>Metallic heart valves – warfarin is recommended for these patients. </w:t>
      </w:r>
    </w:p>
    <w:p w:rsidRPr="00455FDA" w:rsidR="001D45F4" w:rsidP="001D45F4" w:rsidRDefault="001D45F4" w14:paraId="2C8612F5" w14:textId="77777777">
      <w:pPr>
        <w:pStyle w:val="ListParagraph"/>
        <w:numPr>
          <w:ilvl w:val="0"/>
          <w:numId w:val="9"/>
        </w:numPr>
        <w:spacing w:after="0" w:line="240" w:lineRule="auto"/>
        <w:jc w:val="both"/>
        <w:textAlignment w:val="baseline"/>
        <w:rPr>
          <w:rFonts w:eastAsia="Times New Roman" w:cstheme="minorHAnsi"/>
          <w:sz w:val="24"/>
          <w:szCs w:val="24"/>
          <w:lang w:eastAsia="en-GB"/>
        </w:rPr>
      </w:pPr>
      <w:r w:rsidRPr="00455FDA">
        <w:rPr>
          <w:rFonts w:eastAsia="Times New Roman" w:cstheme="minorHAnsi"/>
          <w:sz w:val="24"/>
          <w:szCs w:val="24"/>
          <w:lang w:eastAsia="en-GB"/>
        </w:rPr>
        <w:t>DOACs should not be considered if patients body weight &gt;150Kg, pregnant, breastfeeding or planning pregnancy. </w:t>
      </w:r>
    </w:p>
    <w:p w:rsidRPr="00455FDA" w:rsidR="001D45F4" w:rsidP="001D45F4" w:rsidRDefault="001D45F4" w14:paraId="2E921620" w14:textId="77777777">
      <w:pPr>
        <w:pStyle w:val="ListParagraph"/>
        <w:numPr>
          <w:ilvl w:val="0"/>
          <w:numId w:val="9"/>
        </w:numPr>
        <w:spacing w:after="0" w:line="240" w:lineRule="auto"/>
        <w:jc w:val="both"/>
        <w:textAlignment w:val="baseline"/>
        <w:rPr>
          <w:rFonts w:eastAsia="Times New Roman" w:cstheme="minorHAnsi"/>
          <w:sz w:val="24"/>
          <w:szCs w:val="24"/>
          <w:lang w:eastAsia="en-GB"/>
        </w:rPr>
      </w:pPr>
      <w:r w:rsidRPr="00455FDA">
        <w:rPr>
          <w:rFonts w:eastAsia="Times New Roman" w:cstheme="minorHAnsi"/>
          <w:sz w:val="24"/>
          <w:szCs w:val="24"/>
          <w:lang w:eastAsia="en-GB"/>
        </w:rPr>
        <w:t>Specialist advise should be obtained in patients with bleeding disorder, antiphospholipid syndrome, and body weight in between 120-150Kg. </w:t>
      </w:r>
    </w:p>
    <w:p w:rsidR="0083569B" w:rsidP="0083569B" w:rsidRDefault="0083569B" w14:paraId="2F916FF8" w14:textId="5CE0F5E6">
      <w:pPr>
        <w:rPr>
          <w:b/>
          <w:bCs/>
          <w:sz w:val="24"/>
          <w:szCs w:val="24"/>
        </w:rPr>
      </w:pPr>
    </w:p>
    <w:p w:rsidRPr="00455FDA" w:rsidR="001D45F4" w:rsidP="0083569B" w:rsidRDefault="001D45F4" w14:paraId="3D4668A6" w14:textId="7C1E7696">
      <w:pPr>
        <w:rPr>
          <w:b w:val="1"/>
          <w:bCs w:val="1"/>
          <w:sz w:val="28"/>
          <w:szCs w:val="28"/>
        </w:rPr>
      </w:pPr>
      <w:r w:rsidRPr="2FBC56D6" w:rsidR="001D45F4">
        <w:rPr>
          <w:b w:val="1"/>
          <w:bCs w:val="1"/>
          <w:sz w:val="28"/>
          <w:szCs w:val="28"/>
        </w:rPr>
        <w:t xml:space="preserve">How do I convert patients to </w:t>
      </w:r>
      <w:r w:rsidRPr="2FBC56D6" w:rsidR="001D45F4">
        <w:rPr>
          <w:b w:val="1"/>
          <w:bCs w:val="1"/>
          <w:sz w:val="28"/>
          <w:szCs w:val="28"/>
        </w:rPr>
        <w:t>Edoxaban</w:t>
      </w:r>
      <w:r w:rsidRPr="2FBC56D6" w:rsidR="001D45F4">
        <w:rPr>
          <w:b w:val="1"/>
          <w:bCs w:val="1"/>
          <w:sz w:val="28"/>
          <w:szCs w:val="28"/>
        </w:rPr>
        <w:t>?</w:t>
      </w:r>
    </w:p>
    <w:p w:rsidRPr="001D45F4" w:rsidR="001D45F4" w:rsidP="001D45F4" w:rsidRDefault="001D45F4" w14:paraId="55D06B9D" w14:textId="7CC76B5E">
      <w:pPr>
        <w:pStyle w:val="ListParagraph"/>
        <w:numPr>
          <w:ilvl w:val="0"/>
          <w:numId w:val="12"/>
        </w:numPr>
        <w:spacing w:after="0" w:line="240" w:lineRule="auto"/>
        <w:jc w:val="both"/>
        <w:textAlignment w:val="baseline"/>
        <w:rPr>
          <w:rFonts w:eastAsia="Times New Roman" w:cstheme="minorHAnsi"/>
          <w:sz w:val="24"/>
          <w:szCs w:val="24"/>
          <w:lang w:eastAsia="en-GB"/>
        </w:rPr>
      </w:pPr>
      <w:r w:rsidRPr="001D45F4">
        <w:rPr>
          <w:rFonts w:eastAsia="Times New Roman" w:cstheme="minorHAnsi"/>
          <w:sz w:val="24"/>
          <w:szCs w:val="24"/>
          <w:lang w:eastAsia="en-GB"/>
        </w:rPr>
        <w:t xml:space="preserve">If patients meet the criteria for </w:t>
      </w:r>
      <w:proofErr w:type="spellStart"/>
      <w:r w:rsidRPr="001D45F4">
        <w:rPr>
          <w:rFonts w:eastAsia="Times New Roman" w:cstheme="minorHAnsi"/>
          <w:sz w:val="24"/>
          <w:szCs w:val="24"/>
          <w:lang w:eastAsia="en-GB"/>
        </w:rPr>
        <w:t>Edoxaban</w:t>
      </w:r>
      <w:proofErr w:type="spellEnd"/>
      <w:r w:rsidRPr="001D45F4">
        <w:rPr>
          <w:rFonts w:eastAsia="Times New Roman" w:cstheme="minorHAnsi"/>
          <w:sz w:val="24"/>
          <w:szCs w:val="24"/>
          <w:lang w:eastAsia="en-GB"/>
        </w:rPr>
        <w:t xml:space="preserve"> and have agreed to the change, they should be issued with a prescription for </w:t>
      </w:r>
      <w:proofErr w:type="spellStart"/>
      <w:r w:rsidRPr="001D45F4">
        <w:rPr>
          <w:rFonts w:eastAsia="Times New Roman" w:cstheme="minorHAnsi"/>
          <w:sz w:val="24"/>
          <w:szCs w:val="24"/>
          <w:lang w:eastAsia="en-GB"/>
        </w:rPr>
        <w:t>Edoxaban</w:t>
      </w:r>
      <w:proofErr w:type="spellEnd"/>
      <w:r w:rsidRPr="001D45F4">
        <w:rPr>
          <w:rFonts w:eastAsia="Times New Roman" w:cstheme="minorHAnsi"/>
          <w:sz w:val="24"/>
          <w:szCs w:val="24"/>
          <w:lang w:eastAsia="en-GB"/>
        </w:rPr>
        <w:t>. </w:t>
      </w:r>
    </w:p>
    <w:p w:rsidRPr="001D45F4" w:rsidR="001D45F4" w:rsidP="001D45F4" w:rsidRDefault="001D45F4" w14:paraId="37BD4D83" w14:textId="77777777">
      <w:pPr>
        <w:pStyle w:val="ListParagraph"/>
        <w:numPr>
          <w:ilvl w:val="0"/>
          <w:numId w:val="12"/>
        </w:numPr>
        <w:spacing w:after="0" w:line="240" w:lineRule="auto"/>
        <w:jc w:val="both"/>
        <w:textAlignment w:val="baseline"/>
        <w:rPr>
          <w:rFonts w:eastAsia="Times New Roman" w:cstheme="minorHAnsi"/>
          <w:sz w:val="24"/>
          <w:szCs w:val="24"/>
          <w:lang w:eastAsia="en-GB"/>
        </w:rPr>
      </w:pPr>
      <w:r w:rsidRPr="001D45F4">
        <w:rPr>
          <w:rFonts w:eastAsia="Times New Roman" w:cstheme="minorHAnsi"/>
          <w:sz w:val="24"/>
          <w:szCs w:val="24"/>
          <w:lang w:eastAsia="en-GB"/>
        </w:rPr>
        <w:t xml:space="preserve">They should be advised to use up the supply of existing DOAC before starting </w:t>
      </w:r>
      <w:proofErr w:type="spellStart"/>
      <w:r w:rsidRPr="001D45F4">
        <w:rPr>
          <w:rFonts w:eastAsia="Times New Roman" w:cstheme="minorHAnsi"/>
          <w:sz w:val="24"/>
          <w:szCs w:val="24"/>
          <w:lang w:eastAsia="en-GB"/>
        </w:rPr>
        <w:t>Edoxaban</w:t>
      </w:r>
      <w:proofErr w:type="spellEnd"/>
      <w:r w:rsidRPr="001D45F4">
        <w:rPr>
          <w:rFonts w:eastAsia="Times New Roman" w:cstheme="minorHAnsi"/>
          <w:sz w:val="24"/>
          <w:szCs w:val="24"/>
          <w:lang w:eastAsia="en-GB"/>
        </w:rPr>
        <w:t xml:space="preserve">. They should start </w:t>
      </w:r>
      <w:proofErr w:type="spellStart"/>
      <w:r w:rsidRPr="001D45F4">
        <w:rPr>
          <w:rFonts w:eastAsia="Times New Roman" w:cstheme="minorHAnsi"/>
          <w:sz w:val="24"/>
          <w:szCs w:val="24"/>
          <w:lang w:eastAsia="en-GB"/>
        </w:rPr>
        <w:t>Edoxaban</w:t>
      </w:r>
      <w:proofErr w:type="spellEnd"/>
      <w:r w:rsidRPr="001D45F4">
        <w:rPr>
          <w:rFonts w:eastAsia="Times New Roman" w:cstheme="minorHAnsi"/>
          <w:sz w:val="24"/>
          <w:szCs w:val="24"/>
          <w:lang w:eastAsia="en-GB"/>
        </w:rPr>
        <w:t xml:space="preserve"> the day after they    use up their existing supply. </w:t>
      </w:r>
    </w:p>
    <w:p w:rsidRPr="001D45F4" w:rsidR="001D45F4" w:rsidP="001D45F4" w:rsidRDefault="001D45F4" w14:paraId="74536E82" w14:textId="77777777">
      <w:pPr>
        <w:pStyle w:val="ListParagraph"/>
        <w:numPr>
          <w:ilvl w:val="0"/>
          <w:numId w:val="12"/>
        </w:numPr>
        <w:spacing w:after="0" w:line="240" w:lineRule="auto"/>
        <w:jc w:val="both"/>
        <w:textAlignment w:val="baseline"/>
        <w:rPr>
          <w:rFonts w:eastAsia="Times New Roman" w:cstheme="minorHAnsi"/>
          <w:sz w:val="24"/>
          <w:szCs w:val="24"/>
          <w:lang w:eastAsia="en-GB"/>
        </w:rPr>
      </w:pPr>
      <w:r w:rsidRPr="001D45F4">
        <w:rPr>
          <w:rFonts w:eastAsia="Times New Roman" w:cstheme="minorHAnsi"/>
          <w:sz w:val="24"/>
          <w:szCs w:val="24"/>
          <w:lang w:eastAsia="en-GB"/>
        </w:rPr>
        <w:t xml:space="preserve">If they are converting from Apixaban they should take both the morning and evening dose on the day before starting </w:t>
      </w:r>
      <w:proofErr w:type="spellStart"/>
      <w:r w:rsidRPr="001D45F4">
        <w:rPr>
          <w:rFonts w:eastAsia="Times New Roman" w:cstheme="minorHAnsi"/>
          <w:sz w:val="24"/>
          <w:szCs w:val="24"/>
          <w:lang w:eastAsia="en-GB"/>
        </w:rPr>
        <w:t>Edoxaban</w:t>
      </w:r>
      <w:proofErr w:type="spellEnd"/>
      <w:r w:rsidRPr="001D45F4">
        <w:rPr>
          <w:rFonts w:eastAsia="Times New Roman" w:cstheme="minorHAnsi"/>
          <w:sz w:val="24"/>
          <w:szCs w:val="24"/>
          <w:lang w:eastAsia="en-GB"/>
        </w:rPr>
        <w:t>. </w:t>
      </w:r>
    </w:p>
    <w:p w:rsidRPr="001D45F4" w:rsidR="001D45F4" w:rsidP="001D45F4" w:rsidRDefault="001D45F4" w14:paraId="3FC35BDA" w14:textId="60C1903D">
      <w:pPr>
        <w:pStyle w:val="ListParagraph"/>
        <w:numPr>
          <w:ilvl w:val="0"/>
          <w:numId w:val="12"/>
        </w:numPr>
        <w:spacing w:after="0" w:line="240" w:lineRule="auto"/>
        <w:jc w:val="both"/>
        <w:textAlignment w:val="baseline"/>
        <w:rPr>
          <w:rFonts w:eastAsia="Times New Roman" w:cstheme="minorHAnsi"/>
          <w:sz w:val="24"/>
          <w:szCs w:val="24"/>
          <w:lang w:eastAsia="en-GB"/>
        </w:rPr>
      </w:pPr>
      <w:proofErr w:type="spellStart"/>
      <w:r w:rsidRPr="001D45F4">
        <w:rPr>
          <w:rFonts w:eastAsia="Times New Roman" w:cstheme="minorHAnsi"/>
          <w:sz w:val="24"/>
          <w:szCs w:val="24"/>
          <w:lang w:eastAsia="en-GB"/>
        </w:rPr>
        <w:t>Edoxaban</w:t>
      </w:r>
      <w:proofErr w:type="spellEnd"/>
      <w:r w:rsidRPr="001D45F4">
        <w:rPr>
          <w:rFonts w:eastAsia="Times New Roman" w:cstheme="minorHAnsi"/>
          <w:sz w:val="24"/>
          <w:szCs w:val="24"/>
          <w:lang w:eastAsia="en-GB"/>
        </w:rPr>
        <w:t xml:space="preserve"> should be taken once daily. The precise time of day is not important, neither is the timing in relation to food. The patient should decide the most convenient time of day for them. It is important to take </w:t>
      </w:r>
      <w:proofErr w:type="spellStart"/>
      <w:r w:rsidRPr="001D45F4">
        <w:rPr>
          <w:rFonts w:eastAsia="Times New Roman" w:cstheme="minorHAnsi"/>
          <w:sz w:val="24"/>
          <w:szCs w:val="24"/>
          <w:lang w:eastAsia="en-GB"/>
        </w:rPr>
        <w:t>Edoxaban</w:t>
      </w:r>
      <w:proofErr w:type="spellEnd"/>
      <w:r w:rsidRPr="001D45F4">
        <w:rPr>
          <w:rFonts w:eastAsia="Times New Roman" w:cstheme="minorHAnsi"/>
          <w:sz w:val="24"/>
          <w:szCs w:val="24"/>
          <w:lang w:eastAsia="en-GB"/>
        </w:rPr>
        <w:t xml:space="preserve"> every day at the same time. </w:t>
      </w:r>
    </w:p>
    <w:p w:rsidR="001D45F4" w:rsidP="001D45F4" w:rsidRDefault="001D45F4" w14:paraId="44A77FF4" w14:textId="096EF4FB">
      <w:pPr>
        <w:pStyle w:val="ListParagraph"/>
        <w:numPr>
          <w:ilvl w:val="0"/>
          <w:numId w:val="12"/>
        </w:numPr>
        <w:spacing w:after="0" w:line="240" w:lineRule="auto"/>
        <w:jc w:val="both"/>
        <w:textAlignment w:val="baseline"/>
        <w:rPr>
          <w:rFonts w:eastAsia="Times New Roman" w:cstheme="minorHAnsi"/>
          <w:sz w:val="24"/>
          <w:szCs w:val="24"/>
          <w:lang w:eastAsia="en-GB"/>
        </w:rPr>
      </w:pPr>
      <w:r w:rsidRPr="001D45F4">
        <w:rPr>
          <w:rFonts w:eastAsia="Times New Roman" w:cstheme="minorHAnsi"/>
          <w:sz w:val="24"/>
          <w:szCs w:val="24"/>
          <w:lang w:eastAsia="en-GB"/>
        </w:rPr>
        <w:t>Community pharmacists are being informed of this change and will be supplied with all the relevant support materials. </w:t>
      </w:r>
    </w:p>
    <w:p w:rsidR="001D45F4" w:rsidP="001D45F4" w:rsidRDefault="001D45F4" w14:paraId="00B8F02B" w14:textId="5A7E8C65">
      <w:pPr>
        <w:spacing w:after="0" w:line="240" w:lineRule="auto"/>
        <w:jc w:val="both"/>
        <w:textAlignment w:val="baseline"/>
        <w:rPr>
          <w:rFonts w:eastAsia="Times New Roman" w:cstheme="minorHAnsi"/>
          <w:sz w:val="24"/>
          <w:szCs w:val="24"/>
          <w:lang w:eastAsia="en-GB"/>
        </w:rPr>
      </w:pPr>
    </w:p>
    <w:p w:rsidRPr="00455FDA" w:rsidR="001D45F4" w:rsidP="001D45F4" w:rsidRDefault="001D45F4" w14:paraId="43DCE68B" w14:textId="328598D1">
      <w:pPr>
        <w:spacing w:after="0" w:line="240" w:lineRule="auto"/>
        <w:jc w:val="both"/>
        <w:textAlignment w:val="baseline"/>
        <w:rPr>
          <w:rFonts w:eastAsia="Times New Roman" w:cstheme="minorHAnsi"/>
          <w:b/>
          <w:bCs/>
          <w:sz w:val="28"/>
          <w:szCs w:val="28"/>
          <w:lang w:eastAsia="en-GB"/>
        </w:rPr>
      </w:pPr>
      <w:r w:rsidRPr="00455FDA">
        <w:rPr>
          <w:rFonts w:eastAsia="Times New Roman" w:cstheme="minorHAnsi"/>
          <w:b/>
          <w:bCs/>
          <w:sz w:val="28"/>
          <w:szCs w:val="28"/>
          <w:lang w:eastAsia="en-GB"/>
        </w:rPr>
        <w:t xml:space="preserve">Why are we excluding patients who have creatinine clearance &lt;30ml/min from an automatic change to </w:t>
      </w:r>
      <w:proofErr w:type="spellStart"/>
      <w:r w:rsidRPr="00455FDA">
        <w:rPr>
          <w:rFonts w:eastAsia="Times New Roman" w:cstheme="minorHAnsi"/>
          <w:b/>
          <w:bCs/>
          <w:sz w:val="28"/>
          <w:szCs w:val="28"/>
          <w:lang w:eastAsia="en-GB"/>
        </w:rPr>
        <w:t>Edoxaban</w:t>
      </w:r>
      <w:proofErr w:type="spellEnd"/>
      <w:r w:rsidRPr="00455FDA">
        <w:rPr>
          <w:rFonts w:eastAsia="Times New Roman" w:cstheme="minorHAnsi"/>
          <w:b/>
          <w:bCs/>
          <w:sz w:val="28"/>
          <w:szCs w:val="28"/>
          <w:lang w:eastAsia="en-GB"/>
        </w:rPr>
        <w:t xml:space="preserve"> and suggesting that if </w:t>
      </w:r>
      <w:proofErr w:type="spellStart"/>
      <w:r w:rsidRPr="00455FDA">
        <w:rPr>
          <w:rFonts w:eastAsia="Times New Roman" w:cstheme="minorHAnsi"/>
          <w:b/>
          <w:bCs/>
          <w:sz w:val="28"/>
          <w:szCs w:val="28"/>
          <w:lang w:eastAsia="en-GB"/>
        </w:rPr>
        <w:t>Edoxaban</w:t>
      </w:r>
      <w:proofErr w:type="spellEnd"/>
      <w:r w:rsidRPr="00455FDA">
        <w:rPr>
          <w:rFonts w:eastAsia="Times New Roman" w:cstheme="minorHAnsi"/>
          <w:b/>
          <w:bCs/>
          <w:sz w:val="28"/>
          <w:szCs w:val="28"/>
          <w:lang w:eastAsia="en-GB"/>
        </w:rPr>
        <w:t xml:space="preserve"> is considered it should be on specialist advice</w:t>
      </w:r>
      <w:r w:rsidRPr="00455FDA" w:rsidR="000C4D96">
        <w:rPr>
          <w:rFonts w:eastAsia="Times New Roman" w:cstheme="minorHAnsi"/>
          <w:b/>
          <w:bCs/>
          <w:sz w:val="28"/>
          <w:szCs w:val="28"/>
          <w:lang w:eastAsia="en-GB"/>
        </w:rPr>
        <w:t>?</w:t>
      </w:r>
    </w:p>
    <w:p w:rsidR="001D45F4" w:rsidP="0083569B" w:rsidRDefault="001D45F4" w14:paraId="7BE28A0F" w14:textId="4A446A6F">
      <w:pPr>
        <w:rPr>
          <w:b/>
          <w:bCs/>
          <w:sz w:val="24"/>
          <w:szCs w:val="24"/>
        </w:rPr>
      </w:pPr>
    </w:p>
    <w:p w:rsidRPr="000C4D96" w:rsidR="000C4D96" w:rsidP="000C4D96" w:rsidRDefault="000C4D96" w14:paraId="3DB3FC5E" w14:textId="44D74003">
      <w:pPr>
        <w:pStyle w:val="NoSpacing"/>
        <w:numPr>
          <w:ilvl w:val="0"/>
          <w:numId w:val="15"/>
        </w:numPr>
        <w:rPr>
          <w:rStyle w:val="normaltextrun"/>
          <w:rFonts w:cstheme="minorHAnsi"/>
          <w:b/>
          <w:bCs/>
          <w:sz w:val="24"/>
          <w:szCs w:val="24"/>
        </w:rPr>
      </w:pPr>
      <w:r w:rsidRPr="000C4D96">
        <w:rPr>
          <w:rStyle w:val="normaltextrun"/>
          <w:rFonts w:cstheme="minorHAnsi"/>
          <w:color w:val="000000"/>
          <w:sz w:val="24"/>
          <w:szCs w:val="24"/>
          <w:shd w:val="clear" w:color="auto" w:fill="FFFFFF"/>
        </w:rPr>
        <w:t>There is limited evidence as to which DOAC performs best in patients who have a creatinine clearance &lt;30ml/min.</w:t>
      </w:r>
    </w:p>
    <w:p w:rsidRPr="000C4D96" w:rsidR="000C4D96" w:rsidP="000C4D96" w:rsidRDefault="000C4D96" w14:paraId="190CCD80" w14:textId="2E343E7E">
      <w:pPr>
        <w:pStyle w:val="NoSpacing"/>
        <w:numPr>
          <w:ilvl w:val="0"/>
          <w:numId w:val="15"/>
        </w:numPr>
        <w:rPr>
          <w:rFonts w:eastAsia="Times New Roman"/>
          <w:sz w:val="24"/>
          <w:szCs w:val="24"/>
          <w:lang w:eastAsia="en-GB"/>
        </w:rPr>
      </w:pPr>
      <w:r w:rsidRPr="000C4D96">
        <w:rPr>
          <w:rFonts w:eastAsia="Times New Roman"/>
          <w:sz w:val="24"/>
          <w:szCs w:val="24"/>
          <w:lang w:eastAsia="en-GB"/>
        </w:rPr>
        <w:t>The first line anticoagulant for patients with NV-AF who have a creatinine clearance &lt;30ml/min is warfarin however DOACs can be used, if clinically indicated, if the creatinine clearance is 15-30ml/min. </w:t>
      </w:r>
    </w:p>
    <w:p w:rsidRPr="000C4D96" w:rsidR="000C4D96" w:rsidP="000C4D96" w:rsidRDefault="000C4D96" w14:paraId="1B3473C8" w14:textId="7275D9DF">
      <w:pPr>
        <w:pStyle w:val="NoSpacing"/>
        <w:numPr>
          <w:ilvl w:val="0"/>
          <w:numId w:val="15"/>
        </w:numPr>
        <w:rPr>
          <w:rFonts w:eastAsia="Times New Roman"/>
          <w:sz w:val="24"/>
          <w:szCs w:val="24"/>
          <w:lang w:eastAsia="en-GB"/>
        </w:rPr>
      </w:pPr>
      <w:r w:rsidRPr="000C4D96">
        <w:rPr>
          <w:rFonts w:eastAsia="Times New Roman"/>
          <w:sz w:val="24"/>
          <w:szCs w:val="24"/>
          <w:lang w:eastAsia="en-GB"/>
        </w:rPr>
        <w:t xml:space="preserve">Because of the limitations of evidence in this group, if a patient has a creatinine clearance of 15-30ml/min and is on a DOAC it is best to refer for specialist advice if </w:t>
      </w:r>
      <w:proofErr w:type="spellStart"/>
      <w:r w:rsidRPr="000C4D96">
        <w:rPr>
          <w:rFonts w:eastAsia="Times New Roman"/>
          <w:sz w:val="24"/>
          <w:szCs w:val="24"/>
          <w:lang w:eastAsia="en-GB"/>
        </w:rPr>
        <w:t>Edoxaban</w:t>
      </w:r>
      <w:proofErr w:type="spellEnd"/>
      <w:r w:rsidRPr="000C4D96">
        <w:rPr>
          <w:rFonts w:eastAsia="Times New Roman"/>
          <w:sz w:val="24"/>
          <w:szCs w:val="24"/>
          <w:lang w:eastAsia="en-GB"/>
        </w:rPr>
        <w:t xml:space="preserve"> is envisaged. </w:t>
      </w:r>
    </w:p>
    <w:p w:rsidR="000C4D96" w:rsidP="000C4D96" w:rsidRDefault="000C4D96" w14:paraId="11E88FA3" w14:textId="4456FA5B">
      <w:pPr>
        <w:rPr>
          <w:b/>
          <w:bCs/>
          <w:sz w:val="24"/>
          <w:szCs w:val="24"/>
        </w:rPr>
      </w:pPr>
    </w:p>
    <w:p w:rsidRPr="00455FDA" w:rsidR="000C4D96" w:rsidP="000C4D96" w:rsidRDefault="000C4D96" w14:paraId="57CF4DEC" w14:textId="0413BEE0">
      <w:pPr>
        <w:rPr>
          <w:b/>
          <w:bCs/>
          <w:sz w:val="28"/>
          <w:szCs w:val="28"/>
        </w:rPr>
      </w:pPr>
      <w:r w:rsidRPr="00455FDA">
        <w:rPr>
          <w:b/>
          <w:bCs/>
          <w:sz w:val="28"/>
          <w:szCs w:val="28"/>
        </w:rPr>
        <w:t>What happens if renal function changes?</w:t>
      </w:r>
    </w:p>
    <w:p w:rsidRPr="000C4D96" w:rsidR="000C4D96" w:rsidP="000C4D96" w:rsidRDefault="000C4D96" w14:paraId="048E3DE4" w14:textId="77629338">
      <w:pPr>
        <w:pStyle w:val="NoSpacing"/>
        <w:numPr>
          <w:ilvl w:val="0"/>
          <w:numId w:val="18"/>
        </w:numPr>
        <w:rPr>
          <w:rStyle w:val="normaltextrun"/>
          <w:rFonts w:cstheme="minorHAnsi"/>
          <w:sz w:val="24"/>
          <w:szCs w:val="24"/>
        </w:rPr>
      </w:pPr>
      <w:r w:rsidRPr="000C4D96">
        <w:rPr>
          <w:rStyle w:val="normaltextrun"/>
          <w:rFonts w:cstheme="minorHAnsi"/>
          <w:color w:val="000000"/>
          <w:sz w:val="24"/>
          <w:szCs w:val="24"/>
          <w:shd w:val="clear" w:color="auto" w:fill="FFFFFF"/>
        </w:rPr>
        <w:t>Patients with a creatinine clearance &lt;15ml/min should not be on a DOAC.  These patients should receive warfarin</w:t>
      </w:r>
    </w:p>
    <w:p w:rsidRPr="000C4D96" w:rsidR="000C4D96" w:rsidP="000C4D96" w:rsidRDefault="000C4D96" w14:paraId="71CA61F6" w14:textId="208E55F8">
      <w:pPr>
        <w:pStyle w:val="NoSpacing"/>
        <w:numPr>
          <w:ilvl w:val="0"/>
          <w:numId w:val="18"/>
        </w:numPr>
        <w:rPr>
          <w:rFonts w:eastAsia="Times New Roman" w:cstheme="minorHAnsi"/>
          <w:sz w:val="24"/>
          <w:szCs w:val="24"/>
          <w:lang w:eastAsia="en-GB"/>
        </w:rPr>
      </w:pPr>
      <w:r w:rsidRPr="000C4D96">
        <w:rPr>
          <w:rFonts w:eastAsia="Times New Roman" w:cstheme="minorHAnsi"/>
          <w:sz w:val="24"/>
          <w:szCs w:val="24"/>
          <w:lang w:eastAsia="en-GB"/>
        </w:rPr>
        <w:t>If renal function decreases significantly then the DOAC dose may need to be reviewed. </w:t>
      </w:r>
    </w:p>
    <w:p w:rsidRPr="000C4D96" w:rsidR="000C4D96" w:rsidP="000C4D96" w:rsidRDefault="000C4D96" w14:paraId="7C1D2129" w14:textId="77777777">
      <w:pPr>
        <w:pStyle w:val="NoSpacing"/>
        <w:numPr>
          <w:ilvl w:val="0"/>
          <w:numId w:val="18"/>
        </w:numPr>
        <w:rPr>
          <w:rFonts w:eastAsia="Times New Roman" w:cstheme="minorHAnsi"/>
          <w:sz w:val="24"/>
          <w:szCs w:val="24"/>
          <w:lang w:eastAsia="en-GB"/>
        </w:rPr>
      </w:pPr>
      <w:r w:rsidRPr="000C4D96">
        <w:rPr>
          <w:rFonts w:eastAsia="Times New Roman" w:cstheme="minorHAnsi"/>
          <w:sz w:val="24"/>
          <w:szCs w:val="24"/>
          <w:lang w:eastAsia="en-GB"/>
        </w:rPr>
        <w:t xml:space="preserve">For </w:t>
      </w:r>
      <w:proofErr w:type="spellStart"/>
      <w:r w:rsidRPr="000C4D96">
        <w:rPr>
          <w:rFonts w:eastAsia="Times New Roman" w:cstheme="minorHAnsi"/>
          <w:sz w:val="24"/>
          <w:szCs w:val="24"/>
          <w:lang w:eastAsia="en-GB"/>
        </w:rPr>
        <w:t>Edoxaban</w:t>
      </w:r>
      <w:proofErr w:type="spellEnd"/>
      <w:r w:rsidRPr="000C4D96">
        <w:rPr>
          <w:rFonts w:eastAsia="Times New Roman" w:cstheme="minorHAnsi"/>
          <w:sz w:val="24"/>
          <w:szCs w:val="24"/>
          <w:lang w:eastAsia="en-GB"/>
        </w:rPr>
        <w:t xml:space="preserve"> the important value for review of treatment is 50ml/min which should trigger a dose reduction to 30mg once daily. </w:t>
      </w:r>
    </w:p>
    <w:p w:rsidRPr="000C4D96" w:rsidR="000C4D96" w:rsidP="000C4D96" w:rsidRDefault="000C4D96" w14:paraId="048E1969" w14:textId="0F84BDE6">
      <w:pPr>
        <w:pStyle w:val="NoSpacing"/>
        <w:numPr>
          <w:ilvl w:val="0"/>
          <w:numId w:val="18"/>
        </w:numPr>
        <w:rPr>
          <w:rFonts w:eastAsia="Times New Roman" w:cstheme="minorHAnsi"/>
          <w:sz w:val="24"/>
          <w:szCs w:val="24"/>
          <w:lang w:eastAsia="en-GB"/>
        </w:rPr>
      </w:pPr>
      <w:r w:rsidRPr="000C4D96">
        <w:rPr>
          <w:rFonts w:eastAsia="Times New Roman" w:cstheme="minorHAnsi"/>
          <w:sz w:val="24"/>
          <w:szCs w:val="24"/>
          <w:lang w:eastAsia="en-GB"/>
        </w:rPr>
        <w:t xml:space="preserve">If the creatinine clearance is &lt;30ml/min it may be appropriate to use </w:t>
      </w:r>
      <w:proofErr w:type="spellStart"/>
      <w:r w:rsidRPr="000C4D96">
        <w:rPr>
          <w:rFonts w:eastAsia="Times New Roman" w:cstheme="minorHAnsi"/>
          <w:sz w:val="24"/>
          <w:szCs w:val="24"/>
          <w:lang w:eastAsia="en-GB"/>
        </w:rPr>
        <w:t>Edoxaban</w:t>
      </w:r>
      <w:proofErr w:type="spellEnd"/>
      <w:r w:rsidRPr="000C4D96">
        <w:rPr>
          <w:rFonts w:eastAsia="Times New Roman" w:cstheme="minorHAnsi"/>
          <w:sz w:val="24"/>
          <w:szCs w:val="24"/>
          <w:lang w:eastAsia="en-GB"/>
        </w:rPr>
        <w:t>, but this should only be done on specialist advice as these patients were excluded from clinical trials. </w:t>
      </w:r>
    </w:p>
    <w:p w:rsidRPr="000C4D96" w:rsidR="000C4D96" w:rsidP="000C4D96" w:rsidRDefault="000C4D96" w14:paraId="5A7179D4" w14:textId="77777777">
      <w:pPr>
        <w:pStyle w:val="NoSpacing"/>
        <w:numPr>
          <w:ilvl w:val="0"/>
          <w:numId w:val="18"/>
        </w:numPr>
        <w:rPr>
          <w:rFonts w:eastAsia="Times New Roman" w:cstheme="minorHAnsi"/>
          <w:sz w:val="24"/>
          <w:szCs w:val="24"/>
          <w:lang w:eastAsia="en-GB"/>
        </w:rPr>
      </w:pPr>
      <w:proofErr w:type="spellStart"/>
      <w:r w:rsidRPr="000C4D96">
        <w:rPr>
          <w:rFonts w:eastAsia="Times New Roman" w:cstheme="minorHAnsi"/>
          <w:sz w:val="24"/>
          <w:szCs w:val="24"/>
          <w:lang w:eastAsia="en-GB"/>
        </w:rPr>
        <w:t>Edoxaban</w:t>
      </w:r>
      <w:proofErr w:type="spellEnd"/>
      <w:r w:rsidRPr="000C4D96">
        <w:rPr>
          <w:rFonts w:eastAsia="Times New Roman" w:cstheme="minorHAnsi"/>
          <w:sz w:val="24"/>
          <w:szCs w:val="24"/>
          <w:lang w:eastAsia="en-GB"/>
        </w:rPr>
        <w:t xml:space="preserve"> and other DOACs are not recommended if the creatinine clearance is &lt;15ml/min. These patients should receive warfarin if there is a clinical indication for long-term anticoagulation. </w:t>
      </w:r>
    </w:p>
    <w:p w:rsidR="00610157" w:rsidP="00610157" w:rsidRDefault="00610157" w14:paraId="5233FE88" w14:textId="2821EA9F">
      <w:pPr>
        <w:rPr>
          <w:b/>
          <w:bCs/>
          <w:sz w:val="24"/>
          <w:szCs w:val="24"/>
        </w:rPr>
      </w:pPr>
    </w:p>
    <w:p w:rsidRPr="00610157" w:rsidR="00610157" w:rsidP="00610157" w:rsidRDefault="00610157" w14:paraId="3832AA5B" w14:textId="77777777">
      <w:pPr>
        <w:rPr>
          <w:b/>
          <w:bCs/>
          <w:sz w:val="24"/>
          <w:szCs w:val="24"/>
        </w:rPr>
      </w:pPr>
    </w:p>
    <w:p w:rsidRPr="00455FDA" w:rsidR="00610157" w:rsidP="00610157" w:rsidRDefault="00610157" w14:paraId="56F4EAE9" w14:textId="6C1D910C">
      <w:pPr>
        <w:rPr>
          <w:b/>
          <w:bCs/>
          <w:sz w:val="28"/>
          <w:szCs w:val="28"/>
        </w:rPr>
      </w:pPr>
      <w:r w:rsidRPr="00455FDA">
        <w:rPr>
          <w:b/>
          <w:bCs/>
          <w:sz w:val="28"/>
          <w:szCs w:val="28"/>
        </w:rPr>
        <w:t>Do I need to use the Cockcroft-Gault equation to estimate renal function, or can I use eGFR?</w:t>
      </w:r>
    </w:p>
    <w:p w:rsidRPr="00610157" w:rsidR="00610157" w:rsidP="00610157" w:rsidRDefault="00610157" w14:paraId="455260C3" w14:textId="3FEA2A71">
      <w:pPr>
        <w:pStyle w:val="NoSpacing"/>
        <w:numPr>
          <w:ilvl w:val="0"/>
          <w:numId w:val="21"/>
        </w:numPr>
        <w:rPr>
          <w:rStyle w:val="normaltextrun"/>
          <w:rFonts w:cstheme="minorHAnsi"/>
          <w:sz w:val="24"/>
          <w:szCs w:val="24"/>
        </w:rPr>
      </w:pPr>
      <w:r w:rsidRPr="00610157">
        <w:rPr>
          <w:rStyle w:val="normaltextrun"/>
          <w:rFonts w:cstheme="minorHAnsi"/>
          <w:color w:val="000000"/>
          <w:sz w:val="24"/>
          <w:szCs w:val="24"/>
          <w:shd w:val="clear" w:color="auto" w:fill="FFFFFF"/>
        </w:rPr>
        <w:t>Alternatively, if a reduced dose of a DOAC has been started during an acute impairment of renal function, then the dose will need to be reviewed if renal function subsequently improves.</w:t>
      </w:r>
    </w:p>
    <w:p w:rsidRPr="00610157" w:rsidR="00610157" w:rsidP="00610157" w:rsidRDefault="00610157" w14:paraId="68DC67A1" w14:textId="77777777">
      <w:pPr>
        <w:pStyle w:val="NoSpacing"/>
        <w:numPr>
          <w:ilvl w:val="0"/>
          <w:numId w:val="21"/>
        </w:numPr>
        <w:rPr>
          <w:rFonts w:eastAsia="Times New Roman" w:cstheme="minorHAnsi"/>
          <w:sz w:val="24"/>
          <w:szCs w:val="24"/>
          <w:lang w:eastAsia="en-GB"/>
        </w:rPr>
      </w:pPr>
      <w:r w:rsidRPr="00610157">
        <w:rPr>
          <w:rFonts w:eastAsia="Times New Roman" w:cstheme="minorHAnsi"/>
          <w:sz w:val="24"/>
          <w:szCs w:val="24"/>
          <w:lang w:eastAsia="en-GB"/>
        </w:rPr>
        <w:t>All DOACs require a dose adjustment based on renal impairment. </w:t>
      </w:r>
    </w:p>
    <w:p w:rsidRPr="00610157" w:rsidR="00610157" w:rsidP="00610157" w:rsidRDefault="00610157" w14:paraId="6A80852B" w14:textId="77777777">
      <w:pPr>
        <w:pStyle w:val="NoSpacing"/>
        <w:numPr>
          <w:ilvl w:val="0"/>
          <w:numId w:val="21"/>
        </w:numPr>
        <w:rPr>
          <w:rFonts w:eastAsia="Times New Roman" w:cstheme="minorHAnsi"/>
          <w:sz w:val="24"/>
          <w:szCs w:val="24"/>
          <w:lang w:eastAsia="en-GB"/>
        </w:rPr>
      </w:pPr>
      <w:r w:rsidRPr="00610157">
        <w:rPr>
          <w:rFonts w:eastAsia="Times New Roman" w:cstheme="minorHAnsi"/>
          <w:sz w:val="24"/>
          <w:szCs w:val="24"/>
          <w:lang w:eastAsia="en-GB"/>
        </w:rPr>
        <w:t>Cockcroft-Gault equation is the standard method for estimating creatinine clearance (</w:t>
      </w:r>
      <w:proofErr w:type="spellStart"/>
      <w:r w:rsidRPr="00610157">
        <w:rPr>
          <w:rFonts w:eastAsia="Times New Roman" w:cstheme="minorHAnsi"/>
          <w:sz w:val="24"/>
          <w:szCs w:val="24"/>
          <w:lang w:eastAsia="en-GB"/>
        </w:rPr>
        <w:t>CrCl</w:t>
      </w:r>
      <w:proofErr w:type="spellEnd"/>
      <w:r w:rsidRPr="00610157">
        <w:rPr>
          <w:rFonts w:eastAsia="Times New Roman" w:cstheme="minorHAnsi"/>
          <w:sz w:val="24"/>
          <w:szCs w:val="24"/>
          <w:lang w:eastAsia="en-GB"/>
        </w:rPr>
        <w:t xml:space="preserve">) and drug dose adjustment in adults for starting and dose adjustment of DOACs. It is recommended by the manufacturers of all Direct Oral Anticoagulants (DOACS – </w:t>
      </w:r>
      <w:proofErr w:type="spellStart"/>
      <w:r w:rsidRPr="00610157">
        <w:rPr>
          <w:rFonts w:eastAsia="Times New Roman" w:cstheme="minorHAnsi"/>
          <w:sz w:val="24"/>
          <w:szCs w:val="24"/>
          <w:lang w:eastAsia="en-GB"/>
        </w:rPr>
        <w:t>Edoxaban</w:t>
      </w:r>
      <w:proofErr w:type="spellEnd"/>
      <w:r w:rsidRPr="00610157">
        <w:rPr>
          <w:rFonts w:eastAsia="Times New Roman" w:cstheme="minorHAnsi"/>
          <w:sz w:val="24"/>
          <w:szCs w:val="24"/>
          <w:lang w:eastAsia="en-GB"/>
        </w:rPr>
        <w:t>, Rivaroxaban, Apixaban and Dabigatran) for determining kidney function of patients when prescribing these agents. </w:t>
      </w:r>
    </w:p>
    <w:p w:rsidRPr="00610157" w:rsidR="00610157" w:rsidP="00610157" w:rsidRDefault="00610157" w14:paraId="5F81C239" w14:textId="04DD4F0F">
      <w:pPr>
        <w:pStyle w:val="NoSpacing"/>
        <w:numPr>
          <w:ilvl w:val="0"/>
          <w:numId w:val="21"/>
        </w:numPr>
        <w:rPr>
          <w:rFonts w:eastAsia="Times New Roman" w:cstheme="minorHAnsi"/>
          <w:sz w:val="24"/>
          <w:szCs w:val="24"/>
          <w:lang w:eastAsia="en-GB"/>
        </w:rPr>
      </w:pPr>
      <w:r w:rsidRPr="00610157">
        <w:rPr>
          <w:rFonts w:eastAsia="Times New Roman" w:cstheme="minorHAnsi"/>
          <w:sz w:val="24"/>
          <w:szCs w:val="24"/>
          <w:lang w:eastAsia="en-GB"/>
        </w:rPr>
        <w:t>The Cockcroft-Gault equation is the preferred method particularly for patients &gt;75 years old (see BNF recommendation). </w:t>
      </w:r>
    </w:p>
    <w:p w:rsidRPr="00610157" w:rsidR="00610157" w:rsidP="00610157" w:rsidRDefault="00610157" w14:paraId="1004EB5D" w14:textId="77777777">
      <w:pPr>
        <w:pStyle w:val="NoSpacing"/>
        <w:numPr>
          <w:ilvl w:val="0"/>
          <w:numId w:val="21"/>
        </w:numPr>
        <w:rPr>
          <w:rFonts w:eastAsia="Times New Roman" w:cstheme="minorHAnsi"/>
          <w:sz w:val="24"/>
          <w:szCs w:val="24"/>
          <w:lang w:eastAsia="en-GB"/>
        </w:rPr>
      </w:pPr>
      <w:r w:rsidRPr="00610157">
        <w:rPr>
          <w:rFonts w:eastAsia="Times New Roman" w:cstheme="minorHAnsi"/>
          <w:sz w:val="24"/>
          <w:szCs w:val="24"/>
          <w:lang w:eastAsia="en-GB"/>
        </w:rPr>
        <w:t>Studies have demonstrated that use of the Cockcroft-Gault equation allows appropriate dosing of DOACs and minimises the risk of over anticoagulation.</w:t>
      </w:r>
    </w:p>
    <w:p w:rsidR="00610157" w:rsidP="00610157" w:rsidRDefault="00610157" w14:paraId="4ABAA823" w14:textId="44CD5FAD">
      <w:pPr>
        <w:rPr>
          <w:sz w:val="24"/>
          <w:szCs w:val="24"/>
        </w:rPr>
      </w:pPr>
    </w:p>
    <w:p w:rsidRPr="00455FDA" w:rsidR="00610157" w:rsidP="00610157" w:rsidRDefault="00610157" w14:paraId="15DC3BC1" w14:textId="6935D5CA">
      <w:pPr>
        <w:rPr>
          <w:b/>
          <w:bCs/>
          <w:sz w:val="28"/>
          <w:szCs w:val="28"/>
        </w:rPr>
      </w:pPr>
      <w:r w:rsidRPr="00455FDA">
        <w:rPr>
          <w:b/>
          <w:bCs/>
          <w:sz w:val="28"/>
          <w:szCs w:val="28"/>
        </w:rPr>
        <w:t>How often do I need to check weight and renal function?</w:t>
      </w:r>
    </w:p>
    <w:p w:rsidRPr="00610157" w:rsidR="00610157" w:rsidP="00610157" w:rsidRDefault="00610157" w14:paraId="5157A05E" w14:textId="134B3B52">
      <w:pPr>
        <w:pStyle w:val="NoSpacing"/>
        <w:numPr>
          <w:ilvl w:val="0"/>
          <w:numId w:val="24"/>
        </w:numPr>
        <w:rPr>
          <w:rStyle w:val="normaltextrun"/>
          <w:rFonts w:cstheme="minorHAnsi"/>
          <w:b/>
          <w:bCs/>
          <w:sz w:val="24"/>
          <w:szCs w:val="24"/>
        </w:rPr>
      </w:pPr>
      <w:r w:rsidRPr="00610157">
        <w:rPr>
          <w:rStyle w:val="normaltextrun"/>
          <w:rFonts w:cstheme="minorHAnsi"/>
          <w:color w:val="000000"/>
          <w:sz w:val="24"/>
          <w:szCs w:val="24"/>
          <w:bdr w:val="none" w:color="auto" w:sz="0" w:space="0" w:frame="1"/>
        </w:rPr>
        <w:t>Estimated glomerular filtration rate (eGFR) should not be used, as data suggests this can lead to inappropriate dosing in up to 50% of patients.</w:t>
      </w:r>
    </w:p>
    <w:p w:rsidRPr="00610157" w:rsidR="00610157" w:rsidP="00610157" w:rsidRDefault="00610157" w14:paraId="77374F4B" w14:textId="77777777">
      <w:pPr>
        <w:pStyle w:val="NoSpacing"/>
        <w:numPr>
          <w:ilvl w:val="0"/>
          <w:numId w:val="24"/>
        </w:numPr>
        <w:rPr>
          <w:rFonts w:eastAsia="Times New Roman" w:cstheme="minorHAnsi"/>
          <w:sz w:val="24"/>
          <w:szCs w:val="24"/>
          <w:lang w:eastAsia="en-GB"/>
        </w:rPr>
      </w:pPr>
      <w:r w:rsidRPr="00610157">
        <w:rPr>
          <w:rFonts w:eastAsia="Times New Roman" w:cstheme="minorHAnsi"/>
          <w:sz w:val="24"/>
          <w:szCs w:val="24"/>
          <w:lang w:eastAsia="en-GB"/>
        </w:rPr>
        <w:t>DOAC should not be initiated if patient’s weight is greater than 150kg. If the patient’s weight is between 120-150Kg specialist haematologist opinion should be obtained before initiation of DOACs. </w:t>
      </w:r>
    </w:p>
    <w:p w:rsidRPr="00610157" w:rsidR="00610157" w:rsidP="00610157" w:rsidRDefault="00610157" w14:paraId="1FE9D8C6" w14:textId="77777777">
      <w:pPr>
        <w:pStyle w:val="NoSpacing"/>
        <w:numPr>
          <w:ilvl w:val="0"/>
          <w:numId w:val="24"/>
        </w:numPr>
        <w:rPr>
          <w:rFonts w:eastAsia="Times New Roman" w:cstheme="minorHAnsi"/>
          <w:sz w:val="24"/>
          <w:szCs w:val="24"/>
          <w:lang w:eastAsia="en-GB"/>
        </w:rPr>
      </w:pPr>
      <w:r w:rsidRPr="00610157">
        <w:rPr>
          <w:rFonts w:eastAsia="Times New Roman" w:cstheme="minorHAnsi"/>
          <w:sz w:val="24"/>
          <w:szCs w:val="24"/>
          <w:lang w:eastAsia="en-GB"/>
        </w:rPr>
        <w:t>Weight and renal function should be checked at initiation of treatment or when converting DOACs.  </w:t>
      </w:r>
    </w:p>
    <w:p w:rsidRPr="00610157" w:rsidR="00610157" w:rsidP="00610157" w:rsidRDefault="00610157" w14:paraId="692DE664" w14:textId="77777777">
      <w:pPr>
        <w:pStyle w:val="NoSpacing"/>
        <w:numPr>
          <w:ilvl w:val="0"/>
          <w:numId w:val="24"/>
        </w:numPr>
        <w:rPr>
          <w:rFonts w:eastAsia="Times New Roman" w:cstheme="minorHAnsi"/>
          <w:sz w:val="24"/>
          <w:szCs w:val="24"/>
          <w:lang w:eastAsia="en-GB"/>
        </w:rPr>
      </w:pPr>
      <w:r w:rsidRPr="00610157">
        <w:rPr>
          <w:rFonts w:eastAsia="Times New Roman" w:cstheme="minorHAnsi"/>
          <w:sz w:val="24"/>
          <w:szCs w:val="24"/>
          <w:lang w:eastAsia="en-GB"/>
        </w:rPr>
        <w:t xml:space="preserve">Renal profile should be checked annually, if </w:t>
      </w:r>
      <w:proofErr w:type="spellStart"/>
      <w:r w:rsidRPr="00610157">
        <w:rPr>
          <w:rFonts w:eastAsia="Times New Roman" w:cstheme="minorHAnsi"/>
          <w:sz w:val="24"/>
          <w:szCs w:val="24"/>
          <w:lang w:eastAsia="en-GB"/>
        </w:rPr>
        <w:t>CrCl</w:t>
      </w:r>
      <w:proofErr w:type="spellEnd"/>
      <w:r w:rsidRPr="00610157">
        <w:rPr>
          <w:rFonts w:eastAsia="Times New Roman" w:cstheme="minorHAnsi"/>
          <w:sz w:val="24"/>
          <w:szCs w:val="24"/>
          <w:lang w:eastAsia="en-GB"/>
        </w:rPr>
        <w:t xml:space="preserve"> &gt; 60ml/min with FBC and LFTs, 6 monthly </w:t>
      </w:r>
      <w:proofErr w:type="gramStart"/>
      <w:r w:rsidRPr="00610157">
        <w:rPr>
          <w:rFonts w:eastAsia="Times New Roman" w:cstheme="minorHAnsi"/>
          <w:sz w:val="24"/>
          <w:szCs w:val="24"/>
          <w:lang w:eastAsia="en-GB"/>
        </w:rPr>
        <w:t>review</w:t>
      </w:r>
      <w:proofErr w:type="gramEnd"/>
      <w:r w:rsidRPr="00610157">
        <w:rPr>
          <w:rFonts w:eastAsia="Times New Roman" w:cstheme="minorHAnsi"/>
          <w:sz w:val="24"/>
          <w:szCs w:val="24"/>
          <w:lang w:eastAsia="en-GB"/>
        </w:rPr>
        <w:t xml:space="preserve"> if </w:t>
      </w:r>
      <w:proofErr w:type="spellStart"/>
      <w:r w:rsidRPr="00610157">
        <w:rPr>
          <w:rFonts w:eastAsia="Times New Roman" w:cstheme="minorHAnsi"/>
          <w:sz w:val="24"/>
          <w:szCs w:val="24"/>
          <w:lang w:eastAsia="en-GB"/>
        </w:rPr>
        <w:t>CrCl</w:t>
      </w:r>
      <w:proofErr w:type="spellEnd"/>
      <w:r w:rsidRPr="00610157">
        <w:rPr>
          <w:rFonts w:eastAsia="Times New Roman" w:cstheme="minorHAnsi"/>
          <w:sz w:val="24"/>
          <w:szCs w:val="24"/>
          <w:lang w:eastAsia="en-GB"/>
        </w:rPr>
        <w:t xml:space="preserve"> 30-60ml/min and/or aged &gt;75 years and/or frail and 3 monthly review of renal profile if </w:t>
      </w:r>
      <w:proofErr w:type="spellStart"/>
      <w:r w:rsidRPr="00610157">
        <w:rPr>
          <w:rFonts w:eastAsia="Times New Roman" w:cstheme="minorHAnsi"/>
          <w:sz w:val="24"/>
          <w:szCs w:val="24"/>
          <w:lang w:eastAsia="en-GB"/>
        </w:rPr>
        <w:t>CrCl</w:t>
      </w:r>
      <w:proofErr w:type="spellEnd"/>
      <w:r w:rsidRPr="00610157">
        <w:rPr>
          <w:rFonts w:eastAsia="Times New Roman" w:cstheme="minorHAnsi"/>
          <w:sz w:val="24"/>
          <w:szCs w:val="24"/>
          <w:lang w:eastAsia="en-GB"/>
        </w:rPr>
        <w:t xml:space="preserve"> 15-30ml/min. </w:t>
      </w:r>
    </w:p>
    <w:p w:rsidRPr="00610157" w:rsidR="00610157" w:rsidP="00610157" w:rsidRDefault="00610157" w14:paraId="20EC6897" w14:textId="77777777">
      <w:pPr>
        <w:pStyle w:val="NoSpacing"/>
        <w:numPr>
          <w:ilvl w:val="0"/>
          <w:numId w:val="24"/>
        </w:numPr>
        <w:rPr>
          <w:rFonts w:eastAsia="Times New Roman" w:cstheme="minorHAnsi"/>
          <w:sz w:val="24"/>
          <w:szCs w:val="24"/>
          <w:lang w:eastAsia="en-GB"/>
        </w:rPr>
      </w:pPr>
      <w:r w:rsidRPr="00610157">
        <w:rPr>
          <w:rFonts w:eastAsia="Times New Roman" w:cstheme="minorHAnsi"/>
          <w:sz w:val="24"/>
          <w:szCs w:val="24"/>
          <w:lang w:eastAsia="en-GB"/>
        </w:rPr>
        <w:t xml:space="preserve">For new patients and those moving to </w:t>
      </w:r>
      <w:proofErr w:type="spellStart"/>
      <w:r w:rsidRPr="00610157">
        <w:rPr>
          <w:rFonts w:eastAsia="Times New Roman" w:cstheme="minorHAnsi"/>
          <w:sz w:val="24"/>
          <w:szCs w:val="24"/>
          <w:lang w:eastAsia="en-GB"/>
        </w:rPr>
        <w:t>Edoxaban</w:t>
      </w:r>
      <w:proofErr w:type="spellEnd"/>
      <w:r w:rsidRPr="00610157">
        <w:rPr>
          <w:rFonts w:eastAsia="Times New Roman" w:cstheme="minorHAnsi"/>
          <w:sz w:val="24"/>
          <w:szCs w:val="24"/>
          <w:lang w:eastAsia="en-GB"/>
        </w:rPr>
        <w:t>, the dose should be reduced to 30mg once daily if the creatinine clearance is &lt;50ml/min or if the patient weighs less than 60kg. </w:t>
      </w:r>
    </w:p>
    <w:p w:rsidR="00610157" w:rsidP="00610157" w:rsidRDefault="00610157" w14:paraId="482F64FF" w14:textId="6D91217B">
      <w:pPr>
        <w:rPr>
          <w:b/>
          <w:bCs/>
          <w:sz w:val="24"/>
          <w:szCs w:val="24"/>
        </w:rPr>
      </w:pPr>
    </w:p>
    <w:p w:rsidRPr="00455FDA" w:rsidR="00610157" w:rsidP="00610157" w:rsidRDefault="00610157" w14:paraId="73BE66CA" w14:textId="1952B859">
      <w:pPr>
        <w:rPr>
          <w:b/>
          <w:bCs/>
          <w:sz w:val="28"/>
          <w:szCs w:val="28"/>
        </w:rPr>
      </w:pPr>
      <w:r w:rsidRPr="00455FDA">
        <w:rPr>
          <w:b/>
          <w:bCs/>
          <w:sz w:val="28"/>
          <w:szCs w:val="28"/>
        </w:rPr>
        <w:t>What about patients with Liver disease?</w:t>
      </w:r>
    </w:p>
    <w:p w:rsidRPr="00455FDA" w:rsidR="00610157" w:rsidP="00455FDA" w:rsidRDefault="00455FDA" w14:paraId="1576DAC4" w14:textId="5813F25F">
      <w:pPr>
        <w:pStyle w:val="NoSpacing"/>
        <w:numPr>
          <w:ilvl w:val="0"/>
          <w:numId w:val="27"/>
        </w:numPr>
        <w:rPr>
          <w:rStyle w:val="normaltextrun"/>
          <w:rFonts w:cstheme="minorHAnsi"/>
          <w:color w:val="000000"/>
          <w:sz w:val="24"/>
          <w:szCs w:val="24"/>
          <w:shd w:val="clear" w:color="auto" w:fill="FFFFFF"/>
        </w:rPr>
      </w:pPr>
      <w:r w:rsidRPr="00455FDA">
        <w:rPr>
          <w:rStyle w:val="normaltextrun"/>
          <w:rFonts w:cstheme="minorHAnsi"/>
          <w:color w:val="000000"/>
          <w:sz w:val="24"/>
          <w:szCs w:val="24"/>
          <w:shd w:val="clear" w:color="auto" w:fill="FFFFFF"/>
        </w:rPr>
        <w:t>Caution when prescribing any other new medicines which may interact with </w:t>
      </w:r>
      <w:proofErr w:type="spellStart"/>
      <w:r w:rsidRPr="00455FDA">
        <w:rPr>
          <w:rStyle w:val="normaltextrun"/>
          <w:rFonts w:cstheme="minorHAnsi"/>
          <w:color w:val="000000"/>
          <w:sz w:val="24"/>
          <w:szCs w:val="24"/>
          <w:shd w:val="clear" w:color="auto" w:fill="FFFFFF"/>
        </w:rPr>
        <w:t>Edoxaban</w:t>
      </w:r>
      <w:proofErr w:type="spellEnd"/>
      <w:r w:rsidRPr="00455FDA">
        <w:rPr>
          <w:rStyle w:val="normaltextrun"/>
          <w:rFonts w:cstheme="minorHAnsi"/>
          <w:color w:val="000000"/>
          <w:sz w:val="24"/>
          <w:szCs w:val="24"/>
          <w:shd w:val="clear" w:color="auto" w:fill="FFFFFF"/>
        </w:rPr>
        <w:t xml:space="preserve"> and require the dose of </w:t>
      </w:r>
      <w:proofErr w:type="spellStart"/>
      <w:r w:rsidRPr="00455FDA">
        <w:rPr>
          <w:rStyle w:val="normaltextrun"/>
          <w:rFonts w:cstheme="minorHAnsi"/>
          <w:color w:val="000000"/>
          <w:sz w:val="24"/>
          <w:szCs w:val="24"/>
          <w:shd w:val="clear" w:color="auto" w:fill="FFFFFF"/>
        </w:rPr>
        <w:t>Edoxaban</w:t>
      </w:r>
      <w:proofErr w:type="spellEnd"/>
      <w:r w:rsidRPr="00455FDA">
        <w:rPr>
          <w:rStyle w:val="normaltextrun"/>
          <w:rFonts w:cstheme="minorHAnsi"/>
          <w:color w:val="000000"/>
          <w:sz w:val="24"/>
          <w:szCs w:val="24"/>
          <w:shd w:val="clear" w:color="auto" w:fill="FFFFFF"/>
        </w:rPr>
        <w:t xml:space="preserve"> to be reduced to 30mg once daily - ciclosporin, dronedarone, erythromycin or ketoconazole</w:t>
      </w:r>
    </w:p>
    <w:p w:rsidRPr="00455FDA" w:rsidR="00455FDA" w:rsidP="00455FDA" w:rsidRDefault="00455FDA" w14:paraId="09F700DD" w14:textId="77777777">
      <w:pPr>
        <w:pStyle w:val="NoSpacing"/>
        <w:numPr>
          <w:ilvl w:val="0"/>
          <w:numId w:val="27"/>
        </w:numPr>
        <w:rPr>
          <w:rFonts w:eastAsia="Times New Roman" w:cstheme="minorHAnsi"/>
          <w:sz w:val="24"/>
          <w:szCs w:val="24"/>
          <w:lang w:eastAsia="en-GB"/>
        </w:rPr>
      </w:pPr>
      <w:r w:rsidRPr="00455FDA">
        <w:rPr>
          <w:rFonts w:eastAsia="Times New Roman" w:cstheme="minorHAnsi"/>
          <w:sz w:val="24"/>
          <w:szCs w:val="24"/>
          <w:lang w:eastAsia="en-GB"/>
        </w:rPr>
        <w:t>All DOACs are contraindicated in patients with hepatic disease associated with coagulopathy and clinically relevant bleeding risk and are not recommended in patients with severe hepatic impairment. </w:t>
      </w:r>
    </w:p>
    <w:p w:rsidRPr="00455FDA" w:rsidR="00455FDA" w:rsidP="00455FDA" w:rsidRDefault="00455FDA" w14:paraId="63E8CCD0" w14:textId="77777777">
      <w:pPr>
        <w:pStyle w:val="NoSpacing"/>
        <w:numPr>
          <w:ilvl w:val="0"/>
          <w:numId w:val="27"/>
        </w:numPr>
        <w:rPr>
          <w:rFonts w:eastAsia="Times New Roman" w:cstheme="minorHAnsi"/>
          <w:sz w:val="24"/>
          <w:szCs w:val="24"/>
          <w:lang w:eastAsia="en-GB"/>
        </w:rPr>
      </w:pPr>
      <w:r w:rsidRPr="00455FDA">
        <w:rPr>
          <w:rFonts w:eastAsia="Times New Roman" w:cstheme="minorHAnsi"/>
          <w:sz w:val="24"/>
          <w:szCs w:val="24"/>
          <w:lang w:eastAsia="en-GB"/>
        </w:rPr>
        <w:t>Liver function tests are recommended prior to treatment for those patients with elevated liver enzymes (ALT/AST &gt; 2 x ULN) or total bilirubin ≥ 1.5 x ULN. </w:t>
      </w:r>
    </w:p>
    <w:p w:rsidR="00455FDA" w:rsidP="00455FDA" w:rsidRDefault="00455FDA" w14:paraId="7506400B" w14:textId="104601C7">
      <w:pPr>
        <w:pStyle w:val="NoSpacing"/>
        <w:numPr>
          <w:ilvl w:val="0"/>
          <w:numId w:val="27"/>
        </w:numPr>
        <w:rPr>
          <w:rFonts w:eastAsia="Times New Roman" w:cstheme="minorHAnsi"/>
          <w:sz w:val="24"/>
          <w:szCs w:val="24"/>
          <w:lang w:eastAsia="en-GB"/>
        </w:rPr>
      </w:pPr>
      <w:proofErr w:type="spellStart"/>
      <w:r w:rsidRPr="00455FDA">
        <w:rPr>
          <w:rFonts w:eastAsia="Times New Roman" w:cstheme="minorHAnsi"/>
          <w:sz w:val="24"/>
          <w:szCs w:val="24"/>
          <w:lang w:eastAsia="en-GB"/>
        </w:rPr>
        <w:t>Edoxaban</w:t>
      </w:r>
      <w:proofErr w:type="spellEnd"/>
      <w:r w:rsidRPr="00455FDA">
        <w:rPr>
          <w:rFonts w:eastAsia="Times New Roman" w:cstheme="minorHAnsi"/>
          <w:sz w:val="24"/>
          <w:szCs w:val="24"/>
          <w:lang w:eastAsia="en-GB"/>
        </w:rPr>
        <w:t xml:space="preserve"> should be used with caution in patients with mild to moderate hepatic impairment. </w:t>
      </w:r>
    </w:p>
    <w:p w:rsidR="00455FDA" w:rsidP="00455FDA" w:rsidRDefault="00455FDA" w14:paraId="026084A0" w14:textId="4BCCA486">
      <w:pPr>
        <w:pStyle w:val="NoSpacing"/>
        <w:rPr>
          <w:rFonts w:eastAsia="Times New Roman" w:cstheme="minorHAnsi"/>
          <w:sz w:val="24"/>
          <w:szCs w:val="24"/>
          <w:lang w:eastAsia="en-GB"/>
        </w:rPr>
      </w:pPr>
    </w:p>
    <w:p w:rsidR="00455FDA" w:rsidP="00455FDA" w:rsidRDefault="00455FDA" w14:paraId="04D07D94" w14:textId="4A89C411">
      <w:pPr>
        <w:pStyle w:val="NoSpacing"/>
        <w:rPr>
          <w:rFonts w:eastAsia="Times New Roman" w:cstheme="minorHAnsi"/>
          <w:b/>
          <w:bCs/>
          <w:sz w:val="28"/>
          <w:szCs w:val="28"/>
          <w:lang w:eastAsia="en-GB"/>
        </w:rPr>
      </w:pPr>
      <w:r w:rsidRPr="00F02D4E">
        <w:rPr>
          <w:rFonts w:eastAsia="Times New Roman" w:cstheme="minorHAnsi"/>
          <w:b/>
          <w:bCs/>
          <w:sz w:val="28"/>
          <w:szCs w:val="28"/>
          <w:lang w:eastAsia="en-GB"/>
        </w:rPr>
        <w:t xml:space="preserve">What drugs interact with </w:t>
      </w:r>
      <w:proofErr w:type="spellStart"/>
      <w:r w:rsidRPr="00F02D4E">
        <w:rPr>
          <w:rFonts w:eastAsia="Times New Roman" w:cstheme="minorHAnsi"/>
          <w:b/>
          <w:bCs/>
          <w:sz w:val="28"/>
          <w:szCs w:val="28"/>
          <w:lang w:eastAsia="en-GB"/>
        </w:rPr>
        <w:t>Edoxaban</w:t>
      </w:r>
      <w:proofErr w:type="spellEnd"/>
      <w:r w:rsidRPr="00F02D4E">
        <w:rPr>
          <w:rFonts w:eastAsia="Times New Roman" w:cstheme="minorHAnsi"/>
          <w:b/>
          <w:bCs/>
          <w:sz w:val="28"/>
          <w:szCs w:val="28"/>
          <w:lang w:eastAsia="en-GB"/>
        </w:rPr>
        <w:t xml:space="preserve"> and what should I do about them?</w:t>
      </w:r>
    </w:p>
    <w:p w:rsidRPr="00F02D4E" w:rsidR="00F02D4E" w:rsidP="00455FDA" w:rsidRDefault="00F02D4E" w14:paraId="22339885" w14:textId="77777777">
      <w:pPr>
        <w:pStyle w:val="NoSpacing"/>
        <w:rPr>
          <w:rFonts w:eastAsia="Times New Roman" w:cstheme="minorHAnsi"/>
          <w:b/>
          <w:bCs/>
          <w:sz w:val="28"/>
          <w:szCs w:val="28"/>
          <w:lang w:eastAsia="en-GB"/>
        </w:rPr>
      </w:pPr>
    </w:p>
    <w:p w:rsidRPr="00455FDA" w:rsidR="00455FDA" w:rsidP="00455FDA" w:rsidRDefault="00455FDA" w14:paraId="75A290CF" w14:textId="0B2DE250">
      <w:pPr>
        <w:pStyle w:val="NoSpacing"/>
        <w:numPr>
          <w:ilvl w:val="0"/>
          <w:numId w:val="29"/>
        </w:numPr>
        <w:rPr>
          <w:rStyle w:val="normaltextrun"/>
          <w:rFonts w:cstheme="minorHAnsi"/>
          <w:color w:val="000000"/>
          <w:sz w:val="24"/>
          <w:szCs w:val="24"/>
          <w:shd w:val="clear" w:color="auto" w:fill="FFFFFF"/>
        </w:rPr>
      </w:pPr>
      <w:r w:rsidRPr="00455FDA">
        <w:rPr>
          <w:rStyle w:val="normaltextrun"/>
          <w:rFonts w:cstheme="minorHAnsi"/>
          <w:color w:val="000000"/>
          <w:sz w:val="24"/>
          <w:szCs w:val="24"/>
          <w:shd w:val="clear" w:color="auto" w:fill="FFFFFF"/>
        </w:rPr>
        <w:t>Periodic monitoring of liver function is recommended if treatment continues beyond one year.</w:t>
      </w:r>
    </w:p>
    <w:p w:rsidRPr="00455FDA" w:rsidR="00455FDA" w:rsidP="00455FDA" w:rsidRDefault="00455FDA" w14:paraId="2F8F4D78" w14:textId="77777777">
      <w:pPr>
        <w:pStyle w:val="NoSpacing"/>
        <w:numPr>
          <w:ilvl w:val="0"/>
          <w:numId w:val="29"/>
        </w:numPr>
        <w:rPr>
          <w:rFonts w:eastAsia="Times New Roman"/>
          <w:sz w:val="24"/>
          <w:szCs w:val="24"/>
          <w:lang w:eastAsia="en-GB"/>
        </w:rPr>
      </w:pPr>
      <w:r w:rsidRPr="00455FDA">
        <w:rPr>
          <w:rFonts w:eastAsia="Times New Roman"/>
          <w:sz w:val="24"/>
          <w:szCs w:val="24"/>
          <w:lang w:eastAsia="en-GB"/>
        </w:rPr>
        <w:t xml:space="preserve">The dose of </w:t>
      </w:r>
      <w:proofErr w:type="spellStart"/>
      <w:r w:rsidRPr="00455FDA">
        <w:rPr>
          <w:rFonts w:eastAsia="Times New Roman"/>
          <w:sz w:val="24"/>
          <w:szCs w:val="24"/>
          <w:lang w:eastAsia="en-GB"/>
        </w:rPr>
        <w:t>Edoxaban</w:t>
      </w:r>
      <w:proofErr w:type="spellEnd"/>
      <w:r w:rsidRPr="00455FDA">
        <w:rPr>
          <w:rFonts w:eastAsia="Times New Roman"/>
          <w:sz w:val="24"/>
          <w:szCs w:val="24"/>
          <w:lang w:eastAsia="en-GB"/>
        </w:rPr>
        <w:t xml:space="preserve"> should be reduced to 30mg daily if the patient is taking any of the following medicines - ciclosporin, dronedarone, ketoconazole or erythromycin (when erythromycin is started the dose reduction to </w:t>
      </w:r>
      <w:proofErr w:type="spellStart"/>
      <w:r w:rsidRPr="00455FDA">
        <w:rPr>
          <w:rFonts w:eastAsia="Times New Roman"/>
          <w:sz w:val="24"/>
          <w:szCs w:val="24"/>
          <w:lang w:eastAsia="en-GB"/>
        </w:rPr>
        <w:t>Edoxaban</w:t>
      </w:r>
      <w:proofErr w:type="spellEnd"/>
      <w:r w:rsidRPr="00455FDA">
        <w:rPr>
          <w:rFonts w:eastAsia="Times New Roman"/>
          <w:sz w:val="24"/>
          <w:szCs w:val="24"/>
          <w:lang w:eastAsia="en-GB"/>
        </w:rPr>
        <w:t xml:space="preserve"> 30 mg should be done immediately and the same is true in reverse. In other words, no ‘lag’ time required). This is irrespective of renal function and weight. See </w:t>
      </w:r>
      <w:proofErr w:type="spellStart"/>
      <w:r w:rsidRPr="00455FDA">
        <w:rPr>
          <w:rFonts w:eastAsia="Times New Roman"/>
          <w:sz w:val="24"/>
          <w:szCs w:val="24"/>
          <w:lang w:eastAsia="en-GB"/>
        </w:rPr>
        <w:t>Edoxaban</w:t>
      </w:r>
      <w:proofErr w:type="spellEnd"/>
      <w:r w:rsidRPr="00455FDA">
        <w:rPr>
          <w:rFonts w:eastAsia="Times New Roman"/>
          <w:sz w:val="24"/>
          <w:szCs w:val="24"/>
          <w:lang w:eastAsia="en-GB"/>
        </w:rPr>
        <w:t xml:space="preserve"> SPC for further details. </w:t>
      </w:r>
    </w:p>
    <w:p w:rsidRPr="00455FDA" w:rsidR="00455FDA" w:rsidP="00455FDA" w:rsidRDefault="00455FDA" w14:paraId="279BBCC0" w14:textId="00D8983E">
      <w:pPr>
        <w:pStyle w:val="NoSpacing"/>
        <w:numPr>
          <w:ilvl w:val="0"/>
          <w:numId w:val="29"/>
        </w:numPr>
        <w:rPr>
          <w:rFonts w:eastAsia="Times New Roman"/>
          <w:sz w:val="24"/>
          <w:szCs w:val="24"/>
          <w:lang w:eastAsia="en-GB"/>
        </w:rPr>
      </w:pPr>
      <w:r w:rsidRPr="00455FDA">
        <w:rPr>
          <w:rFonts w:eastAsia="Times New Roman"/>
          <w:color w:val="202020"/>
          <w:sz w:val="24"/>
          <w:szCs w:val="24"/>
          <w:lang w:eastAsia="en-GB"/>
        </w:rPr>
        <w:t xml:space="preserve">If you have a patient already on a lower dose due to either weight or renal function, there is no further dose reduction required in relation to the above interacting drugs therefore if a patient is already on 30mg then </w:t>
      </w:r>
      <w:r w:rsidRPr="00455FDA">
        <w:rPr>
          <w:rFonts w:eastAsia="Times New Roman"/>
          <w:color w:val="202020"/>
          <w:sz w:val="24"/>
          <w:szCs w:val="24"/>
          <w:u w:val="single"/>
          <w:lang w:eastAsia="en-GB"/>
        </w:rPr>
        <w:t>do not</w:t>
      </w:r>
      <w:r w:rsidRPr="00455FDA">
        <w:rPr>
          <w:rFonts w:eastAsia="Times New Roman"/>
          <w:color w:val="202020"/>
          <w:sz w:val="24"/>
          <w:szCs w:val="24"/>
          <w:lang w:eastAsia="en-GB"/>
        </w:rPr>
        <w:t xml:space="preserve"> reduce to 15mg. </w:t>
      </w:r>
    </w:p>
    <w:p w:rsidRPr="00455FDA" w:rsidR="00455FDA" w:rsidP="00455FDA" w:rsidRDefault="00455FDA" w14:paraId="1CA4E885" w14:textId="77777777">
      <w:pPr>
        <w:pStyle w:val="NoSpacing"/>
        <w:numPr>
          <w:ilvl w:val="0"/>
          <w:numId w:val="29"/>
        </w:numPr>
        <w:rPr>
          <w:rFonts w:eastAsia="Times New Roman"/>
          <w:sz w:val="24"/>
          <w:szCs w:val="24"/>
          <w:lang w:eastAsia="en-GB"/>
        </w:rPr>
      </w:pPr>
      <w:r w:rsidRPr="00455FDA">
        <w:rPr>
          <w:rFonts w:eastAsia="Times New Roman"/>
          <w:sz w:val="24"/>
          <w:szCs w:val="24"/>
          <w:lang w:eastAsia="en-GB"/>
        </w:rPr>
        <w:t xml:space="preserve">As with other anticoagulants, the risk of bleeding is increased if </w:t>
      </w:r>
      <w:proofErr w:type="spellStart"/>
      <w:r w:rsidRPr="00455FDA">
        <w:rPr>
          <w:rFonts w:eastAsia="Times New Roman"/>
          <w:sz w:val="24"/>
          <w:szCs w:val="24"/>
          <w:lang w:eastAsia="en-GB"/>
        </w:rPr>
        <w:t>Edoxaban</w:t>
      </w:r>
      <w:proofErr w:type="spellEnd"/>
      <w:r w:rsidRPr="00455FDA">
        <w:rPr>
          <w:rFonts w:eastAsia="Times New Roman"/>
          <w:sz w:val="24"/>
          <w:szCs w:val="24"/>
          <w:lang w:eastAsia="en-GB"/>
        </w:rPr>
        <w:t xml:space="preserve"> is used in combination with one or more antiplatelet drugs. This combination is clinically appropriate in certain circumstances, but this should only be done on the advice of a specialist and a clear treatment plan describing the intended duration of treatment. </w:t>
      </w:r>
    </w:p>
    <w:p w:rsidR="00455FDA" w:rsidP="00455FDA" w:rsidRDefault="00455FDA" w14:paraId="7D78F6D4" w14:textId="59B31A4F">
      <w:pPr>
        <w:pStyle w:val="NoSpacing"/>
        <w:numPr>
          <w:ilvl w:val="0"/>
          <w:numId w:val="29"/>
        </w:numPr>
        <w:rPr>
          <w:rFonts w:eastAsia="Times New Roman"/>
          <w:sz w:val="24"/>
          <w:szCs w:val="24"/>
          <w:lang w:eastAsia="en-GB"/>
        </w:rPr>
      </w:pPr>
      <w:r w:rsidRPr="00455FDA">
        <w:rPr>
          <w:rFonts w:eastAsia="Times New Roman"/>
          <w:sz w:val="24"/>
          <w:szCs w:val="24"/>
          <w:lang w:eastAsia="en-GB"/>
        </w:rPr>
        <w:t xml:space="preserve">A proton pump inhibitor should be considered along with </w:t>
      </w:r>
      <w:proofErr w:type="spellStart"/>
      <w:r w:rsidRPr="00455FDA">
        <w:rPr>
          <w:rFonts w:eastAsia="Times New Roman"/>
          <w:sz w:val="24"/>
          <w:szCs w:val="24"/>
          <w:lang w:eastAsia="en-GB"/>
        </w:rPr>
        <w:t>Edoxaban</w:t>
      </w:r>
      <w:proofErr w:type="spellEnd"/>
      <w:r w:rsidRPr="00455FDA">
        <w:rPr>
          <w:rFonts w:eastAsia="Times New Roman"/>
          <w:sz w:val="24"/>
          <w:szCs w:val="24"/>
          <w:lang w:eastAsia="en-GB"/>
        </w:rPr>
        <w:t xml:space="preserve"> or other DOAC if the patients age is greater than 75.</w:t>
      </w:r>
    </w:p>
    <w:p w:rsidR="00455FDA" w:rsidP="00455FDA" w:rsidRDefault="00455FDA" w14:paraId="47053E73" w14:textId="2F399998">
      <w:pPr>
        <w:pStyle w:val="NoSpacing"/>
        <w:rPr>
          <w:rFonts w:eastAsia="Times New Roman"/>
          <w:sz w:val="24"/>
          <w:szCs w:val="24"/>
          <w:lang w:eastAsia="en-GB"/>
        </w:rPr>
      </w:pPr>
    </w:p>
    <w:p w:rsidRPr="00F02D4E" w:rsidR="00455FDA" w:rsidP="00455FDA" w:rsidRDefault="00455FDA" w14:paraId="4FC63190" w14:textId="4DA8EFBB">
      <w:pPr>
        <w:pStyle w:val="NoSpacing"/>
        <w:rPr>
          <w:rFonts w:eastAsia="Times New Roman"/>
          <w:b/>
          <w:bCs/>
          <w:sz w:val="28"/>
          <w:szCs w:val="28"/>
          <w:lang w:eastAsia="en-GB"/>
        </w:rPr>
      </w:pPr>
      <w:r w:rsidRPr="00F02D4E">
        <w:rPr>
          <w:rFonts w:eastAsia="Times New Roman"/>
          <w:b/>
          <w:bCs/>
          <w:sz w:val="28"/>
          <w:szCs w:val="28"/>
          <w:lang w:eastAsia="en-GB"/>
        </w:rPr>
        <w:t xml:space="preserve">Can </w:t>
      </w:r>
      <w:proofErr w:type="spellStart"/>
      <w:r w:rsidRPr="00F02D4E">
        <w:rPr>
          <w:rFonts w:eastAsia="Times New Roman"/>
          <w:b/>
          <w:bCs/>
          <w:sz w:val="28"/>
          <w:szCs w:val="28"/>
          <w:lang w:eastAsia="en-GB"/>
        </w:rPr>
        <w:t>Edoxaban</w:t>
      </w:r>
      <w:proofErr w:type="spellEnd"/>
      <w:r w:rsidRPr="00F02D4E">
        <w:rPr>
          <w:rFonts w:eastAsia="Times New Roman"/>
          <w:b/>
          <w:bCs/>
          <w:sz w:val="28"/>
          <w:szCs w:val="28"/>
          <w:lang w:eastAsia="en-GB"/>
        </w:rPr>
        <w:t xml:space="preserve"> go into a patient compliance device?</w:t>
      </w:r>
    </w:p>
    <w:p w:rsidRPr="00455FDA" w:rsidR="00455FDA" w:rsidP="00455FDA" w:rsidRDefault="00455FDA" w14:paraId="7A4FBC73" w14:textId="77777777">
      <w:pPr>
        <w:pStyle w:val="NoSpacing"/>
        <w:rPr>
          <w:rFonts w:eastAsia="Times New Roman" w:cstheme="minorHAnsi"/>
          <w:b/>
          <w:bCs/>
          <w:sz w:val="24"/>
          <w:szCs w:val="24"/>
          <w:lang w:eastAsia="en-GB"/>
        </w:rPr>
      </w:pPr>
    </w:p>
    <w:p w:rsidRPr="00455FDA" w:rsidR="00455FDA" w:rsidP="00455FDA" w:rsidRDefault="00455FDA" w14:paraId="5688B02B" w14:textId="77777777">
      <w:pPr>
        <w:pStyle w:val="ListParagraph"/>
        <w:numPr>
          <w:ilvl w:val="0"/>
          <w:numId w:val="31"/>
        </w:numPr>
        <w:spacing w:after="0" w:line="240" w:lineRule="auto"/>
        <w:jc w:val="both"/>
        <w:textAlignment w:val="baseline"/>
        <w:rPr>
          <w:rFonts w:ascii="Calibri" w:hAnsi="Calibri" w:eastAsia="Times New Roman" w:cs="Calibri"/>
          <w:sz w:val="24"/>
          <w:szCs w:val="24"/>
          <w:lang w:eastAsia="en-GB"/>
        </w:rPr>
      </w:pPr>
      <w:r w:rsidRPr="00455FDA">
        <w:rPr>
          <w:rFonts w:ascii="Calibri" w:hAnsi="Calibri" w:eastAsia="Times New Roman" w:cs="Calibri"/>
          <w:sz w:val="24"/>
          <w:szCs w:val="24"/>
          <w:lang w:eastAsia="en-GB"/>
        </w:rPr>
        <w:t xml:space="preserve">There are no known issues with using </w:t>
      </w:r>
      <w:proofErr w:type="spellStart"/>
      <w:r w:rsidRPr="00455FDA">
        <w:rPr>
          <w:rFonts w:ascii="Calibri" w:hAnsi="Calibri" w:eastAsia="Times New Roman" w:cs="Calibri"/>
          <w:sz w:val="24"/>
          <w:szCs w:val="24"/>
          <w:lang w:eastAsia="en-GB"/>
        </w:rPr>
        <w:t>Edoxaban</w:t>
      </w:r>
      <w:proofErr w:type="spellEnd"/>
      <w:r w:rsidRPr="00455FDA">
        <w:rPr>
          <w:rFonts w:ascii="Calibri" w:hAnsi="Calibri" w:eastAsia="Times New Roman" w:cs="Calibri"/>
          <w:sz w:val="24"/>
          <w:szCs w:val="24"/>
          <w:lang w:eastAsia="en-GB"/>
        </w:rPr>
        <w:t xml:space="preserve"> in a compliance device</w:t>
      </w:r>
      <w:r w:rsidRPr="00455FDA">
        <w:rPr>
          <w:rFonts w:ascii="Calibri" w:hAnsi="Calibri" w:eastAsia="Times New Roman" w:cs="Calibri"/>
          <w:sz w:val="24"/>
          <w:szCs w:val="24"/>
          <w:lang w:eastAsia="en-GB"/>
        </w:rPr>
        <w:t>.</w:t>
      </w:r>
    </w:p>
    <w:p w:rsidR="00455FDA" w:rsidP="00455FDA" w:rsidRDefault="00455FDA" w14:paraId="747F9905" w14:textId="77777777">
      <w:pPr>
        <w:spacing w:after="0" w:line="240" w:lineRule="auto"/>
        <w:jc w:val="both"/>
        <w:textAlignment w:val="baseline"/>
        <w:rPr>
          <w:rFonts w:ascii="Arial" w:hAnsi="Arial" w:eastAsia="Times New Roman" w:cs="Arial"/>
          <w:sz w:val="24"/>
          <w:szCs w:val="24"/>
          <w:lang w:eastAsia="en-GB"/>
        </w:rPr>
      </w:pPr>
    </w:p>
    <w:p w:rsidR="00455FDA" w:rsidP="00455FDA" w:rsidRDefault="00455FDA" w14:paraId="497D377F" w14:textId="77777777">
      <w:pPr>
        <w:spacing w:after="0" w:line="240" w:lineRule="auto"/>
        <w:jc w:val="both"/>
        <w:textAlignment w:val="baseline"/>
        <w:rPr>
          <w:rFonts w:ascii="Arial" w:hAnsi="Arial" w:eastAsia="Times New Roman" w:cs="Arial"/>
          <w:sz w:val="24"/>
          <w:szCs w:val="24"/>
          <w:lang w:eastAsia="en-GB"/>
        </w:rPr>
      </w:pPr>
    </w:p>
    <w:p w:rsidR="00455FDA" w:rsidP="00455FDA" w:rsidRDefault="00455FDA" w14:paraId="5EE756B0" w14:textId="77777777">
      <w:pPr>
        <w:spacing w:after="0" w:line="240" w:lineRule="auto"/>
        <w:jc w:val="both"/>
        <w:textAlignment w:val="baseline"/>
        <w:rPr>
          <w:rFonts w:ascii="Arial" w:hAnsi="Arial" w:eastAsia="Times New Roman" w:cs="Arial"/>
          <w:sz w:val="24"/>
          <w:szCs w:val="24"/>
          <w:lang w:eastAsia="en-GB"/>
        </w:rPr>
      </w:pPr>
    </w:p>
    <w:p w:rsidRPr="00455FDA" w:rsidR="00455FDA" w:rsidP="00455FDA" w:rsidRDefault="00455FDA" w14:paraId="5DADA663" w14:textId="63C6DBB3">
      <w:pPr>
        <w:spacing w:after="0" w:line="240" w:lineRule="auto"/>
        <w:jc w:val="both"/>
        <w:textAlignment w:val="baseline"/>
        <w:rPr>
          <w:rFonts w:ascii="Arial" w:hAnsi="Arial" w:eastAsia="Times New Roman" w:cs="Arial"/>
          <w:sz w:val="24"/>
          <w:szCs w:val="24"/>
          <w:lang w:eastAsia="en-GB"/>
        </w:rPr>
      </w:pPr>
      <w:r w:rsidRPr="00455FDA">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33"/>
        <w:gridCol w:w="6877"/>
      </w:tblGrid>
      <w:tr w:rsidRPr="00455FDA" w:rsidR="00455FDA" w:rsidTr="3EF1CC36" w14:paraId="79FFF9D7" w14:textId="77777777">
        <w:tc>
          <w:tcPr>
            <w:tcW w:w="2400" w:type="dxa"/>
            <w:tcBorders>
              <w:top w:val="single" w:color="auto" w:sz="6" w:space="0"/>
              <w:left w:val="single" w:color="auto" w:sz="6" w:space="0"/>
              <w:bottom w:val="single" w:color="auto" w:sz="6" w:space="0"/>
              <w:right w:val="single" w:color="auto" w:sz="6" w:space="0"/>
            </w:tcBorders>
            <w:shd w:val="clear" w:color="auto" w:fill="auto"/>
            <w:tcMar/>
            <w:hideMark/>
          </w:tcPr>
          <w:p w:rsidRPr="00455FDA" w:rsidR="00455FDA" w:rsidP="00455FDA" w:rsidRDefault="00455FDA" w14:paraId="69D510D5" w14:textId="77777777">
            <w:pPr>
              <w:spacing w:after="0" w:line="240" w:lineRule="auto"/>
              <w:ind w:right="240"/>
              <w:jc w:val="both"/>
              <w:textAlignment w:val="baseline"/>
              <w:rPr>
                <w:rFonts w:ascii="Times New Roman" w:hAnsi="Times New Roman" w:eastAsia="Times New Roman" w:cs="Times New Roman"/>
                <w:sz w:val="24"/>
                <w:szCs w:val="24"/>
                <w:lang w:eastAsia="en-GB"/>
              </w:rPr>
            </w:pPr>
            <w:r w:rsidRPr="00455FDA">
              <w:rPr>
                <w:rFonts w:ascii="Arial" w:hAnsi="Arial" w:eastAsia="Times New Roman" w:cs="Arial"/>
                <w:sz w:val="24"/>
                <w:szCs w:val="24"/>
                <w:lang w:eastAsia="en-GB"/>
              </w:rPr>
              <w:t>Date Written </w:t>
            </w:r>
          </w:p>
        </w:tc>
        <w:tc>
          <w:tcPr>
            <w:tcW w:w="7740" w:type="dxa"/>
            <w:tcBorders>
              <w:top w:val="single" w:color="auto" w:sz="6" w:space="0"/>
              <w:left w:val="nil"/>
              <w:bottom w:val="single" w:color="auto" w:sz="6" w:space="0"/>
              <w:right w:val="single" w:color="auto" w:sz="6" w:space="0"/>
            </w:tcBorders>
            <w:shd w:val="clear" w:color="auto" w:fill="auto"/>
            <w:tcMar/>
            <w:hideMark/>
          </w:tcPr>
          <w:p w:rsidRPr="00455FDA" w:rsidR="00455FDA" w:rsidP="00455FDA" w:rsidRDefault="00455FDA" w14:paraId="2DF3B8A9" w14:textId="77777777">
            <w:pPr>
              <w:spacing w:after="0" w:line="240" w:lineRule="auto"/>
              <w:ind w:right="240"/>
              <w:jc w:val="both"/>
              <w:textAlignment w:val="baseline"/>
              <w:rPr>
                <w:rFonts w:ascii="Times New Roman" w:hAnsi="Times New Roman" w:eastAsia="Times New Roman" w:cs="Times New Roman"/>
                <w:sz w:val="24"/>
                <w:szCs w:val="24"/>
                <w:lang w:eastAsia="en-GB"/>
              </w:rPr>
            </w:pPr>
            <w:r w:rsidRPr="00455FDA">
              <w:rPr>
                <w:rFonts w:ascii="Arial" w:hAnsi="Arial" w:eastAsia="Times New Roman" w:cs="Arial"/>
                <w:sz w:val="24"/>
                <w:szCs w:val="24"/>
                <w:lang w:eastAsia="en-GB"/>
              </w:rPr>
              <w:t>March 2022  </w:t>
            </w:r>
          </w:p>
        </w:tc>
      </w:tr>
      <w:tr w:rsidRPr="00455FDA" w:rsidR="00455FDA" w:rsidTr="3EF1CC36" w14:paraId="676E56C4" w14:textId="77777777">
        <w:tc>
          <w:tcPr>
            <w:tcW w:w="2400" w:type="dxa"/>
            <w:tcBorders>
              <w:top w:val="nil"/>
              <w:left w:val="single" w:color="auto" w:sz="6" w:space="0"/>
              <w:bottom w:val="single" w:color="auto" w:sz="6" w:space="0"/>
              <w:right w:val="single" w:color="auto" w:sz="6" w:space="0"/>
            </w:tcBorders>
            <w:shd w:val="clear" w:color="auto" w:fill="auto"/>
            <w:tcMar/>
            <w:hideMark/>
          </w:tcPr>
          <w:p w:rsidRPr="00455FDA" w:rsidR="00455FDA" w:rsidP="00455FDA" w:rsidRDefault="00455FDA" w14:paraId="6C20B420" w14:textId="77777777">
            <w:pPr>
              <w:spacing w:after="0" w:line="240" w:lineRule="auto"/>
              <w:ind w:right="240"/>
              <w:jc w:val="both"/>
              <w:textAlignment w:val="baseline"/>
              <w:rPr>
                <w:rFonts w:ascii="Times New Roman" w:hAnsi="Times New Roman" w:eastAsia="Times New Roman" w:cs="Times New Roman"/>
                <w:sz w:val="24"/>
                <w:szCs w:val="24"/>
                <w:lang w:eastAsia="en-GB"/>
              </w:rPr>
            </w:pPr>
            <w:r w:rsidRPr="00455FDA">
              <w:rPr>
                <w:rFonts w:ascii="Arial" w:hAnsi="Arial" w:eastAsia="Times New Roman" w:cs="Arial"/>
                <w:sz w:val="24"/>
                <w:szCs w:val="24"/>
                <w:lang w:eastAsia="en-GB"/>
              </w:rPr>
              <w:t>Approved By </w:t>
            </w:r>
          </w:p>
        </w:tc>
        <w:tc>
          <w:tcPr>
            <w:tcW w:w="7740" w:type="dxa"/>
            <w:tcBorders>
              <w:top w:val="nil"/>
              <w:left w:val="nil"/>
              <w:bottom w:val="single" w:color="auto" w:sz="6" w:space="0"/>
              <w:right w:val="single" w:color="auto" w:sz="6" w:space="0"/>
            </w:tcBorders>
            <w:shd w:val="clear" w:color="auto" w:fill="auto"/>
            <w:tcMar/>
            <w:hideMark/>
          </w:tcPr>
          <w:p w:rsidRPr="00455FDA" w:rsidR="00455FDA" w:rsidP="00455FDA" w:rsidRDefault="00455FDA" w14:paraId="3DAB15C1" w14:textId="77777777">
            <w:pPr>
              <w:spacing w:after="0" w:line="240" w:lineRule="auto"/>
              <w:ind w:right="240"/>
              <w:jc w:val="both"/>
              <w:textAlignment w:val="baseline"/>
              <w:rPr>
                <w:rFonts w:ascii="Times New Roman" w:hAnsi="Times New Roman" w:eastAsia="Times New Roman" w:cs="Times New Roman"/>
                <w:sz w:val="24"/>
                <w:szCs w:val="24"/>
                <w:lang w:eastAsia="en-GB"/>
              </w:rPr>
            </w:pPr>
            <w:r w:rsidRPr="00455FDA" w:rsidR="00455FDA">
              <w:rPr>
                <w:rFonts w:ascii="Arial" w:hAnsi="Arial" w:eastAsia="Times New Roman" w:cs="Arial"/>
                <w:sz w:val="24"/>
                <w:szCs w:val="24"/>
                <w:shd w:val="clear" w:color="auto" w:fill="FFFF00"/>
                <w:lang w:eastAsia="en-GB"/>
              </w:rPr>
              <w:t>The Dorset medicines Advisory group March 2022</w:t>
            </w:r>
            <w:r w:rsidRPr="00455FDA" w:rsidR="00455FDA">
              <w:rPr>
                <w:rFonts w:ascii="Arial" w:hAnsi="Arial" w:eastAsia="Times New Roman" w:cs="Arial"/>
                <w:sz w:val="24"/>
                <w:szCs w:val="24"/>
                <w:lang w:eastAsia="en-GB"/>
              </w:rPr>
              <w:t> </w:t>
            </w:r>
          </w:p>
        </w:tc>
      </w:tr>
      <w:tr w:rsidRPr="00455FDA" w:rsidR="00455FDA" w:rsidTr="3EF1CC36" w14:paraId="1E7C3292" w14:textId="77777777">
        <w:tc>
          <w:tcPr>
            <w:tcW w:w="2400" w:type="dxa"/>
            <w:tcBorders>
              <w:top w:val="nil"/>
              <w:left w:val="single" w:color="auto" w:sz="6" w:space="0"/>
              <w:bottom w:val="single" w:color="auto" w:sz="6" w:space="0"/>
              <w:right w:val="single" w:color="auto" w:sz="6" w:space="0"/>
            </w:tcBorders>
            <w:shd w:val="clear" w:color="auto" w:fill="auto"/>
            <w:tcMar/>
            <w:hideMark/>
          </w:tcPr>
          <w:p w:rsidRPr="00455FDA" w:rsidR="00455FDA" w:rsidP="00455FDA" w:rsidRDefault="00455FDA" w14:paraId="0F038C40" w14:textId="77777777">
            <w:pPr>
              <w:spacing w:after="0" w:line="240" w:lineRule="auto"/>
              <w:ind w:right="240"/>
              <w:jc w:val="both"/>
              <w:textAlignment w:val="baseline"/>
              <w:rPr>
                <w:rFonts w:ascii="Times New Roman" w:hAnsi="Times New Roman" w:eastAsia="Times New Roman" w:cs="Times New Roman"/>
                <w:sz w:val="24"/>
                <w:szCs w:val="24"/>
                <w:lang w:eastAsia="en-GB"/>
              </w:rPr>
            </w:pPr>
            <w:r w:rsidRPr="00455FDA">
              <w:rPr>
                <w:rFonts w:ascii="Arial" w:hAnsi="Arial" w:eastAsia="Times New Roman" w:cs="Arial"/>
                <w:sz w:val="24"/>
                <w:szCs w:val="24"/>
                <w:lang w:eastAsia="en-GB"/>
              </w:rPr>
              <w:t>Next Review </w:t>
            </w:r>
          </w:p>
        </w:tc>
        <w:tc>
          <w:tcPr>
            <w:tcW w:w="7740" w:type="dxa"/>
            <w:tcBorders>
              <w:top w:val="nil"/>
              <w:left w:val="nil"/>
              <w:bottom w:val="single" w:color="auto" w:sz="6" w:space="0"/>
              <w:right w:val="single" w:color="auto" w:sz="6" w:space="0"/>
            </w:tcBorders>
            <w:shd w:val="clear" w:color="auto" w:fill="auto"/>
            <w:tcMar/>
            <w:hideMark/>
          </w:tcPr>
          <w:p w:rsidRPr="00455FDA" w:rsidR="00455FDA" w:rsidP="00455FDA" w:rsidRDefault="00455FDA" w14:paraId="16282E12" w14:textId="77777777">
            <w:pPr>
              <w:spacing w:after="0" w:line="240" w:lineRule="auto"/>
              <w:ind w:right="240"/>
              <w:jc w:val="both"/>
              <w:textAlignment w:val="baseline"/>
              <w:rPr>
                <w:rFonts w:ascii="Times New Roman" w:hAnsi="Times New Roman" w:eastAsia="Times New Roman" w:cs="Times New Roman"/>
                <w:sz w:val="24"/>
                <w:szCs w:val="24"/>
                <w:lang w:eastAsia="en-GB"/>
              </w:rPr>
            </w:pPr>
            <w:r w:rsidRPr="00455FDA" w:rsidR="00455FDA">
              <w:rPr>
                <w:rFonts w:ascii="Arial" w:hAnsi="Arial" w:eastAsia="Times New Roman" w:cs="Arial"/>
                <w:shd w:val="clear" w:color="auto" w:fill="FFFF00"/>
                <w:lang w:eastAsia="en-GB"/>
              </w:rPr>
              <w:t xml:space="preserve">March 2024, or before, </w:t>
            </w:r>
            <w:r w:rsidRPr="00455FDA" w:rsidR="00455FDA">
              <w:rPr>
                <w:rFonts w:ascii="Arial" w:hAnsi="Arial" w:eastAsia="Times New Roman" w:cs="Arial"/>
                <w:shd w:val="clear" w:color="auto" w:fill="FFFF00"/>
                <w:lang w:eastAsia="en-GB"/>
              </w:rPr>
              <w:t>in light of</w:t>
            </w:r>
            <w:r w:rsidRPr="00455FDA" w:rsidR="00455FDA">
              <w:rPr>
                <w:rFonts w:ascii="Arial" w:hAnsi="Arial" w:eastAsia="Times New Roman" w:cs="Arial"/>
                <w:shd w:val="clear" w:color="auto" w:fill="FFFF00"/>
                <w:lang w:eastAsia="en-GB"/>
              </w:rPr>
              <w:t xml:space="preserve"> new information</w:t>
            </w:r>
            <w:r w:rsidRPr="00455FDA" w:rsidR="00455FDA">
              <w:rPr>
                <w:rFonts w:ascii="Arial" w:hAnsi="Arial" w:eastAsia="Times New Roman" w:cs="Arial"/>
                <w:lang w:eastAsia="en-GB"/>
              </w:rPr>
              <w:t> </w:t>
            </w:r>
          </w:p>
        </w:tc>
      </w:tr>
      <w:tr w:rsidRPr="00455FDA" w:rsidR="00455FDA" w:rsidTr="3EF1CC36" w14:paraId="0C8334B7" w14:textId="77777777">
        <w:tc>
          <w:tcPr>
            <w:tcW w:w="2400" w:type="dxa"/>
            <w:tcBorders>
              <w:top w:val="nil"/>
              <w:left w:val="single" w:color="auto" w:sz="6" w:space="0"/>
              <w:bottom w:val="single" w:color="auto" w:sz="6" w:space="0"/>
              <w:right w:val="single" w:color="auto" w:sz="6" w:space="0"/>
            </w:tcBorders>
            <w:shd w:val="clear" w:color="auto" w:fill="auto"/>
            <w:tcMar/>
            <w:hideMark/>
          </w:tcPr>
          <w:p w:rsidRPr="00455FDA" w:rsidR="00455FDA" w:rsidP="00455FDA" w:rsidRDefault="00455FDA" w14:paraId="1DACD033" w14:textId="77777777">
            <w:pPr>
              <w:spacing w:after="0" w:line="240" w:lineRule="auto"/>
              <w:textAlignment w:val="baseline"/>
              <w:rPr>
                <w:rFonts w:ascii="Times New Roman" w:hAnsi="Times New Roman" w:eastAsia="Times New Roman" w:cs="Times New Roman"/>
                <w:sz w:val="24"/>
                <w:szCs w:val="24"/>
                <w:lang w:eastAsia="en-GB"/>
              </w:rPr>
            </w:pPr>
            <w:r w:rsidRPr="00455FDA">
              <w:rPr>
                <w:rFonts w:ascii="Arial" w:hAnsi="Arial" w:eastAsia="Times New Roman" w:cs="Arial"/>
                <w:sz w:val="24"/>
                <w:szCs w:val="24"/>
                <w:lang w:eastAsia="en-GB"/>
              </w:rPr>
              <w:t>Contact for This Policy  </w:t>
            </w:r>
          </w:p>
        </w:tc>
        <w:tc>
          <w:tcPr>
            <w:tcW w:w="7740" w:type="dxa"/>
            <w:tcBorders>
              <w:top w:val="nil"/>
              <w:left w:val="nil"/>
              <w:bottom w:val="single" w:color="auto" w:sz="6" w:space="0"/>
              <w:right w:val="single" w:color="auto" w:sz="6" w:space="0"/>
            </w:tcBorders>
            <w:shd w:val="clear" w:color="auto" w:fill="auto"/>
            <w:tcMar/>
            <w:hideMark/>
          </w:tcPr>
          <w:p w:rsidRPr="00455FDA" w:rsidR="00455FDA" w:rsidP="00455FDA" w:rsidRDefault="00455FDA" w14:paraId="09BC011C" w14:textId="77777777">
            <w:pPr>
              <w:spacing w:after="0" w:line="240" w:lineRule="auto"/>
              <w:textAlignment w:val="baseline"/>
              <w:rPr>
                <w:rFonts w:ascii="Times New Roman" w:hAnsi="Times New Roman" w:eastAsia="Times New Roman" w:cs="Times New Roman"/>
                <w:sz w:val="24"/>
                <w:szCs w:val="24"/>
                <w:lang w:eastAsia="en-GB"/>
              </w:rPr>
            </w:pPr>
            <w:r w:rsidRPr="00455FDA">
              <w:rPr>
                <w:rFonts w:ascii="Arial" w:hAnsi="Arial" w:eastAsia="Times New Roman" w:cs="Arial"/>
                <w:sz w:val="24"/>
                <w:szCs w:val="24"/>
                <w:lang w:eastAsia="en-GB"/>
              </w:rPr>
              <w:t xml:space="preserve">The Cardiology &amp; Anticoagulation Working Group Via </w:t>
            </w:r>
            <w:hyperlink w:tgtFrame="_blank" w:history="1" r:id="rId7">
              <w:r w:rsidRPr="00455FDA">
                <w:rPr>
                  <w:rFonts w:ascii="Arial" w:hAnsi="Arial" w:eastAsia="Times New Roman" w:cs="Arial"/>
                  <w:color w:val="0000FF"/>
                  <w:sz w:val="24"/>
                  <w:szCs w:val="24"/>
                  <w:u w:val="single"/>
                  <w:lang w:eastAsia="en-GB"/>
                </w:rPr>
                <w:t>medicine.question@dorsetccg.nhs.uk</w:t>
              </w:r>
            </w:hyperlink>
            <w:r w:rsidRPr="00455FDA">
              <w:rPr>
                <w:rFonts w:ascii="Arial" w:hAnsi="Arial" w:eastAsia="Times New Roman" w:cs="Arial"/>
                <w:lang w:eastAsia="en-GB"/>
              </w:rPr>
              <w:t>  </w:t>
            </w:r>
          </w:p>
        </w:tc>
      </w:tr>
    </w:tbl>
    <w:p w:rsidRPr="00455FDA" w:rsidR="00455FDA" w:rsidP="00455FDA" w:rsidRDefault="00455FDA" w14:paraId="208A0409" w14:textId="77777777">
      <w:pPr>
        <w:spacing w:after="0" w:line="240" w:lineRule="auto"/>
        <w:ind w:right="240"/>
        <w:jc w:val="both"/>
        <w:textAlignment w:val="baseline"/>
        <w:rPr>
          <w:rFonts w:ascii="Segoe UI" w:hAnsi="Segoe UI" w:eastAsia="Times New Roman" w:cs="Segoe UI"/>
          <w:sz w:val="18"/>
          <w:szCs w:val="18"/>
          <w:lang w:eastAsia="en-GB"/>
        </w:rPr>
      </w:pPr>
      <w:r w:rsidRPr="00455FDA">
        <w:rPr>
          <w:rFonts w:ascii="Arial" w:hAnsi="Arial" w:eastAsia="Times New Roman" w:cs="Arial"/>
          <w:sz w:val="24"/>
          <w:szCs w:val="24"/>
          <w:lang w:eastAsia="en-GB"/>
        </w:rPr>
        <w:t> </w:t>
      </w:r>
    </w:p>
    <w:p w:rsidRPr="00610157" w:rsidR="00455FDA" w:rsidP="00610157" w:rsidRDefault="00455FDA" w14:paraId="57B5C21A" w14:textId="77777777">
      <w:pPr>
        <w:rPr>
          <w:b/>
          <w:bCs/>
          <w:sz w:val="24"/>
          <w:szCs w:val="24"/>
        </w:rPr>
      </w:pPr>
    </w:p>
    <w:sectPr w:rsidRPr="00610157" w:rsidR="00455FDA">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5D7E" w:rsidP="00117703" w:rsidRDefault="00755D7E" w14:paraId="7269B3DC" w14:textId="77777777">
      <w:pPr>
        <w:spacing w:after="0" w:line="240" w:lineRule="auto"/>
      </w:pPr>
      <w:r>
        <w:separator/>
      </w:r>
    </w:p>
  </w:endnote>
  <w:endnote w:type="continuationSeparator" w:id="0">
    <w:p w:rsidR="00755D7E" w:rsidP="00117703" w:rsidRDefault="00755D7E" w14:paraId="34FC0B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5D7E" w:rsidP="00117703" w:rsidRDefault="00755D7E" w14:paraId="7723C0A2" w14:textId="77777777">
      <w:pPr>
        <w:spacing w:after="0" w:line="240" w:lineRule="auto"/>
      </w:pPr>
      <w:r>
        <w:separator/>
      </w:r>
    </w:p>
  </w:footnote>
  <w:footnote w:type="continuationSeparator" w:id="0">
    <w:p w:rsidR="00755D7E" w:rsidP="00117703" w:rsidRDefault="00755D7E" w14:paraId="2DEA4D5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703" w:rsidP="00117703" w:rsidRDefault="00117703" w14:paraId="4E6E6C0E" w14:textId="15C81E20">
    <w:pPr>
      <w:pStyle w:val="Header"/>
      <w:jc w:val="center"/>
    </w:pPr>
    <w:r>
      <w:t>Dorset Medicines Advisory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B1A"/>
    <w:multiLevelType w:val="multilevel"/>
    <w:tmpl w:val="A3C06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1448DE"/>
    <w:multiLevelType w:val="hybridMultilevel"/>
    <w:tmpl w:val="BAF49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9226E2"/>
    <w:multiLevelType w:val="hybridMultilevel"/>
    <w:tmpl w:val="91B07B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B01AA4"/>
    <w:multiLevelType w:val="multilevel"/>
    <w:tmpl w:val="82849B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C2920D4"/>
    <w:multiLevelType w:val="multilevel"/>
    <w:tmpl w:val="204455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C440BE9"/>
    <w:multiLevelType w:val="multilevel"/>
    <w:tmpl w:val="29AC37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2652D55"/>
    <w:multiLevelType w:val="hybridMultilevel"/>
    <w:tmpl w:val="A94444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C80AFF"/>
    <w:multiLevelType w:val="multilevel"/>
    <w:tmpl w:val="2670E4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4062796"/>
    <w:multiLevelType w:val="hybridMultilevel"/>
    <w:tmpl w:val="B290D7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AB5B04"/>
    <w:multiLevelType w:val="hybridMultilevel"/>
    <w:tmpl w:val="C672B3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592A6D"/>
    <w:multiLevelType w:val="multilevel"/>
    <w:tmpl w:val="B1349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AAC326B"/>
    <w:multiLevelType w:val="hybridMultilevel"/>
    <w:tmpl w:val="D2EE7D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EE666F8"/>
    <w:multiLevelType w:val="hybridMultilevel"/>
    <w:tmpl w:val="11589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F371DAF"/>
    <w:multiLevelType w:val="multilevel"/>
    <w:tmpl w:val="EF6C9D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F655EF4"/>
    <w:multiLevelType w:val="hybridMultilevel"/>
    <w:tmpl w:val="B108EC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2E37680"/>
    <w:multiLevelType w:val="hybridMultilevel"/>
    <w:tmpl w:val="EC4821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34D5046"/>
    <w:multiLevelType w:val="hybridMultilevel"/>
    <w:tmpl w:val="86BA00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A5C2146"/>
    <w:multiLevelType w:val="hybridMultilevel"/>
    <w:tmpl w:val="A306C1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BA57C01"/>
    <w:multiLevelType w:val="multilevel"/>
    <w:tmpl w:val="FF96D4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C8918DA"/>
    <w:multiLevelType w:val="hybridMultilevel"/>
    <w:tmpl w:val="24C625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CCF0679"/>
    <w:multiLevelType w:val="multilevel"/>
    <w:tmpl w:val="0E481F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FCF6EC6"/>
    <w:multiLevelType w:val="multilevel"/>
    <w:tmpl w:val="DAE4E4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3787162"/>
    <w:multiLevelType w:val="hybridMultilevel"/>
    <w:tmpl w:val="5BEAA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4AD3A9B"/>
    <w:multiLevelType w:val="multilevel"/>
    <w:tmpl w:val="065405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9A31363"/>
    <w:multiLevelType w:val="hybridMultilevel"/>
    <w:tmpl w:val="92DA2D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1287767"/>
    <w:multiLevelType w:val="hybridMultilevel"/>
    <w:tmpl w:val="041AB2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4D03C81"/>
    <w:multiLevelType w:val="multilevel"/>
    <w:tmpl w:val="A358E200"/>
    <w:lvl w:ilvl="0">
      <w:start w:val="1"/>
      <w:numFmt w:val="bullet"/>
      <w:lvlText w:val=""/>
      <w:lvlJc w:val="left"/>
      <w:pPr>
        <w:tabs>
          <w:tab w:val="num" w:pos="660"/>
        </w:tabs>
        <w:ind w:left="660" w:hanging="360"/>
      </w:pPr>
      <w:rPr>
        <w:rFonts w:hint="default" w:ascii="Symbol" w:hAnsi="Symbol"/>
        <w:sz w:val="20"/>
      </w:rPr>
    </w:lvl>
    <w:lvl w:ilvl="1" w:tentative="1">
      <w:start w:val="1"/>
      <w:numFmt w:val="bullet"/>
      <w:lvlText w:val=""/>
      <w:lvlJc w:val="left"/>
      <w:pPr>
        <w:tabs>
          <w:tab w:val="num" w:pos="1380"/>
        </w:tabs>
        <w:ind w:left="1380" w:hanging="360"/>
      </w:pPr>
      <w:rPr>
        <w:rFonts w:hint="default" w:ascii="Symbol" w:hAnsi="Symbol"/>
        <w:sz w:val="20"/>
      </w:rPr>
    </w:lvl>
    <w:lvl w:ilvl="2" w:tentative="1">
      <w:start w:val="1"/>
      <w:numFmt w:val="bullet"/>
      <w:lvlText w:val=""/>
      <w:lvlJc w:val="left"/>
      <w:pPr>
        <w:tabs>
          <w:tab w:val="num" w:pos="2100"/>
        </w:tabs>
        <w:ind w:left="2100" w:hanging="360"/>
      </w:pPr>
      <w:rPr>
        <w:rFonts w:hint="default" w:ascii="Symbol" w:hAnsi="Symbol"/>
        <w:sz w:val="20"/>
      </w:rPr>
    </w:lvl>
    <w:lvl w:ilvl="3" w:tentative="1">
      <w:start w:val="1"/>
      <w:numFmt w:val="bullet"/>
      <w:lvlText w:val=""/>
      <w:lvlJc w:val="left"/>
      <w:pPr>
        <w:tabs>
          <w:tab w:val="num" w:pos="2820"/>
        </w:tabs>
        <w:ind w:left="2820" w:hanging="360"/>
      </w:pPr>
      <w:rPr>
        <w:rFonts w:hint="default" w:ascii="Symbol" w:hAnsi="Symbol"/>
        <w:sz w:val="20"/>
      </w:rPr>
    </w:lvl>
    <w:lvl w:ilvl="4" w:tentative="1">
      <w:start w:val="1"/>
      <w:numFmt w:val="bullet"/>
      <w:lvlText w:val=""/>
      <w:lvlJc w:val="left"/>
      <w:pPr>
        <w:tabs>
          <w:tab w:val="num" w:pos="3540"/>
        </w:tabs>
        <w:ind w:left="3540" w:hanging="360"/>
      </w:pPr>
      <w:rPr>
        <w:rFonts w:hint="default" w:ascii="Symbol" w:hAnsi="Symbol"/>
        <w:sz w:val="20"/>
      </w:rPr>
    </w:lvl>
    <w:lvl w:ilvl="5" w:tentative="1">
      <w:start w:val="1"/>
      <w:numFmt w:val="bullet"/>
      <w:lvlText w:val=""/>
      <w:lvlJc w:val="left"/>
      <w:pPr>
        <w:tabs>
          <w:tab w:val="num" w:pos="4260"/>
        </w:tabs>
        <w:ind w:left="4260" w:hanging="360"/>
      </w:pPr>
      <w:rPr>
        <w:rFonts w:hint="default" w:ascii="Symbol" w:hAnsi="Symbol"/>
        <w:sz w:val="20"/>
      </w:rPr>
    </w:lvl>
    <w:lvl w:ilvl="6" w:tentative="1">
      <w:start w:val="1"/>
      <w:numFmt w:val="bullet"/>
      <w:lvlText w:val=""/>
      <w:lvlJc w:val="left"/>
      <w:pPr>
        <w:tabs>
          <w:tab w:val="num" w:pos="4980"/>
        </w:tabs>
        <w:ind w:left="4980" w:hanging="360"/>
      </w:pPr>
      <w:rPr>
        <w:rFonts w:hint="default" w:ascii="Symbol" w:hAnsi="Symbol"/>
        <w:sz w:val="20"/>
      </w:rPr>
    </w:lvl>
    <w:lvl w:ilvl="7" w:tentative="1">
      <w:start w:val="1"/>
      <w:numFmt w:val="bullet"/>
      <w:lvlText w:val=""/>
      <w:lvlJc w:val="left"/>
      <w:pPr>
        <w:tabs>
          <w:tab w:val="num" w:pos="5700"/>
        </w:tabs>
        <w:ind w:left="5700" w:hanging="360"/>
      </w:pPr>
      <w:rPr>
        <w:rFonts w:hint="default" w:ascii="Symbol" w:hAnsi="Symbol"/>
        <w:sz w:val="20"/>
      </w:rPr>
    </w:lvl>
    <w:lvl w:ilvl="8" w:tentative="1">
      <w:start w:val="1"/>
      <w:numFmt w:val="bullet"/>
      <w:lvlText w:val=""/>
      <w:lvlJc w:val="left"/>
      <w:pPr>
        <w:tabs>
          <w:tab w:val="num" w:pos="6420"/>
        </w:tabs>
        <w:ind w:left="6420" w:hanging="360"/>
      </w:pPr>
      <w:rPr>
        <w:rFonts w:hint="default" w:ascii="Symbol" w:hAnsi="Symbol"/>
        <w:sz w:val="20"/>
      </w:rPr>
    </w:lvl>
  </w:abstractNum>
  <w:abstractNum w:abstractNumId="27" w15:restartNumberingAfterBreak="0">
    <w:nsid w:val="6F346E1A"/>
    <w:multiLevelType w:val="multilevel"/>
    <w:tmpl w:val="4502C8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3171D2E"/>
    <w:multiLevelType w:val="hybridMultilevel"/>
    <w:tmpl w:val="CDF49C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4F93A6B"/>
    <w:multiLevelType w:val="hybridMultilevel"/>
    <w:tmpl w:val="1E808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7D02B29"/>
    <w:multiLevelType w:val="multilevel"/>
    <w:tmpl w:val="E07819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6"/>
  </w:num>
  <w:num w:numId="2">
    <w:abstractNumId w:val="18"/>
  </w:num>
  <w:num w:numId="3">
    <w:abstractNumId w:val="0"/>
  </w:num>
  <w:num w:numId="4">
    <w:abstractNumId w:val="28"/>
  </w:num>
  <w:num w:numId="5">
    <w:abstractNumId w:val="26"/>
  </w:num>
  <w:num w:numId="6">
    <w:abstractNumId w:val="14"/>
  </w:num>
  <w:num w:numId="7">
    <w:abstractNumId w:val="27"/>
  </w:num>
  <w:num w:numId="8">
    <w:abstractNumId w:val="20"/>
  </w:num>
  <w:num w:numId="9">
    <w:abstractNumId w:val="29"/>
  </w:num>
  <w:num w:numId="10">
    <w:abstractNumId w:val="23"/>
  </w:num>
  <w:num w:numId="11">
    <w:abstractNumId w:val="10"/>
  </w:num>
  <w:num w:numId="12">
    <w:abstractNumId w:val="2"/>
  </w:num>
  <w:num w:numId="13">
    <w:abstractNumId w:val="11"/>
  </w:num>
  <w:num w:numId="14">
    <w:abstractNumId w:val="5"/>
  </w:num>
  <w:num w:numId="15">
    <w:abstractNumId w:val="1"/>
  </w:num>
  <w:num w:numId="16">
    <w:abstractNumId w:val="12"/>
  </w:num>
  <w:num w:numId="17">
    <w:abstractNumId w:val="13"/>
  </w:num>
  <w:num w:numId="18">
    <w:abstractNumId w:val="17"/>
  </w:num>
  <w:num w:numId="19">
    <w:abstractNumId w:val="19"/>
  </w:num>
  <w:num w:numId="20">
    <w:abstractNumId w:val="7"/>
  </w:num>
  <w:num w:numId="21">
    <w:abstractNumId w:val="24"/>
  </w:num>
  <w:num w:numId="22">
    <w:abstractNumId w:val="9"/>
  </w:num>
  <w:num w:numId="23">
    <w:abstractNumId w:val="30"/>
  </w:num>
  <w:num w:numId="24">
    <w:abstractNumId w:val="22"/>
  </w:num>
  <w:num w:numId="25">
    <w:abstractNumId w:val="4"/>
  </w:num>
  <w:num w:numId="26">
    <w:abstractNumId w:val="8"/>
  </w:num>
  <w:num w:numId="27">
    <w:abstractNumId w:val="15"/>
  </w:num>
  <w:num w:numId="28">
    <w:abstractNumId w:val="3"/>
  </w:num>
  <w:num w:numId="29">
    <w:abstractNumId w:val="6"/>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03"/>
    <w:rsid w:val="000C4D96"/>
    <w:rsid w:val="00117703"/>
    <w:rsid w:val="001D45F4"/>
    <w:rsid w:val="00455FDA"/>
    <w:rsid w:val="00610157"/>
    <w:rsid w:val="00755D7E"/>
    <w:rsid w:val="0083569B"/>
    <w:rsid w:val="00891ADE"/>
    <w:rsid w:val="00F02D4E"/>
    <w:rsid w:val="2FBC56D6"/>
    <w:rsid w:val="3EF1C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5136"/>
  <w15:chartTrackingRefBased/>
  <w15:docId w15:val="{DB8EB1B3-E964-4B61-9EE6-33E470A8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177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7703"/>
  </w:style>
  <w:style w:type="paragraph" w:styleId="Footer">
    <w:name w:val="footer"/>
    <w:basedOn w:val="Normal"/>
    <w:link w:val="FooterChar"/>
    <w:uiPriority w:val="99"/>
    <w:unhideWhenUsed/>
    <w:rsid w:val="001177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7703"/>
  </w:style>
  <w:style w:type="table" w:styleId="TableGrid">
    <w:name w:val="Table Grid"/>
    <w:basedOn w:val="TableNormal"/>
    <w:uiPriority w:val="39"/>
    <w:rsid w:val="0011770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3569B"/>
    <w:pPr>
      <w:ind w:left="720"/>
      <w:contextualSpacing/>
    </w:pPr>
  </w:style>
  <w:style w:type="paragraph" w:styleId="paragraph" w:customStyle="1">
    <w:name w:val="paragraph"/>
    <w:basedOn w:val="Normal"/>
    <w:rsid w:val="008356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3569B"/>
  </w:style>
  <w:style w:type="character" w:styleId="eop" w:customStyle="1">
    <w:name w:val="eop"/>
    <w:basedOn w:val="DefaultParagraphFont"/>
    <w:rsid w:val="0083569B"/>
  </w:style>
  <w:style w:type="paragraph" w:styleId="NoSpacing">
    <w:name w:val="No Spacing"/>
    <w:uiPriority w:val="1"/>
    <w:qFormat/>
    <w:rsid w:val="000C4D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4648">
      <w:bodyDiv w:val="1"/>
      <w:marLeft w:val="0"/>
      <w:marRight w:val="0"/>
      <w:marTop w:val="0"/>
      <w:marBottom w:val="0"/>
      <w:divBdr>
        <w:top w:val="none" w:sz="0" w:space="0" w:color="auto"/>
        <w:left w:val="none" w:sz="0" w:space="0" w:color="auto"/>
        <w:bottom w:val="none" w:sz="0" w:space="0" w:color="auto"/>
        <w:right w:val="none" w:sz="0" w:space="0" w:color="auto"/>
      </w:divBdr>
      <w:divsChild>
        <w:div w:id="1492677031">
          <w:marLeft w:val="0"/>
          <w:marRight w:val="0"/>
          <w:marTop w:val="0"/>
          <w:marBottom w:val="0"/>
          <w:divBdr>
            <w:top w:val="none" w:sz="0" w:space="0" w:color="auto"/>
            <w:left w:val="none" w:sz="0" w:space="0" w:color="auto"/>
            <w:bottom w:val="none" w:sz="0" w:space="0" w:color="auto"/>
            <w:right w:val="none" w:sz="0" w:space="0" w:color="auto"/>
          </w:divBdr>
        </w:div>
        <w:div w:id="822087158">
          <w:marLeft w:val="0"/>
          <w:marRight w:val="0"/>
          <w:marTop w:val="0"/>
          <w:marBottom w:val="0"/>
          <w:divBdr>
            <w:top w:val="none" w:sz="0" w:space="0" w:color="auto"/>
            <w:left w:val="none" w:sz="0" w:space="0" w:color="auto"/>
            <w:bottom w:val="none" w:sz="0" w:space="0" w:color="auto"/>
            <w:right w:val="none" w:sz="0" w:space="0" w:color="auto"/>
          </w:divBdr>
        </w:div>
      </w:divsChild>
    </w:div>
    <w:div w:id="662783835">
      <w:bodyDiv w:val="1"/>
      <w:marLeft w:val="0"/>
      <w:marRight w:val="0"/>
      <w:marTop w:val="0"/>
      <w:marBottom w:val="0"/>
      <w:divBdr>
        <w:top w:val="none" w:sz="0" w:space="0" w:color="auto"/>
        <w:left w:val="none" w:sz="0" w:space="0" w:color="auto"/>
        <w:bottom w:val="none" w:sz="0" w:space="0" w:color="auto"/>
        <w:right w:val="none" w:sz="0" w:space="0" w:color="auto"/>
      </w:divBdr>
    </w:div>
    <w:div w:id="738014198">
      <w:bodyDiv w:val="1"/>
      <w:marLeft w:val="0"/>
      <w:marRight w:val="0"/>
      <w:marTop w:val="0"/>
      <w:marBottom w:val="0"/>
      <w:divBdr>
        <w:top w:val="none" w:sz="0" w:space="0" w:color="auto"/>
        <w:left w:val="none" w:sz="0" w:space="0" w:color="auto"/>
        <w:bottom w:val="none" w:sz="0" w:space="0" w:color="auto"/>
        <w:right w:val="none" w:sz="0" w:space="0" w:color="auto"/>
      </w:divBdr>
      <w:divsChild>
        <w:div w:id="1689284857">
          <w:marLeft w:val="0"/>
          <w:marRight w:val="0"/>
          <w:marTop w:val="0"/>
          <w:marBottom w:val="0"/>
          <w:divBdr>
            <w:top w:val="none" w:sz="0" w:space="0" w:color="auto"/>
            <w:left w:val="none" w:sz="0" w:space="0" w:color="auto"/>
            <w:bottom w:val="none" w:sz="0" w:space="0" w:color="auto"/>
            <w:right w:val="none" w:sz="0" w:space="0" w:color="auto"/>
          </w:divBdr>
        </w:div>
        <w:div w:id="1100948280">
          <w:marLeft w:val="0"/>
          <w:marRight w:val="0"/>
          <w:marTop w:val="0"/>
          <w:marBottom w:val="0"/>
          <w:divBdr>
            <w:top w:val="none" w:sz="0" w:space="0" w:color="auto"/>
            <w:left w:val="none" w:sz="0" w:space="0" w:color="auto"/>
            <w:bottom w:val="none" w:sz="0" w:space="0" w:color="auto"/>
            <w:right w:val="none" w:sz="0" w:space="0" w:color="auto"/>
          </w:divBdr>
        </w:div>
      </w:divsChild>
    </w:div>
    <w:div w:id="909920074">
      <w:bodyDiv w:val="1"/>
      <w:marLeft w:val="0"/>
      <w:marRight w:val="0"/>
      <w:marTop w:val="0"/>
      <w:marBottom w:val="0"/>
      <w:divBdr>
        <w:top w:val="none" w:sz="0" w:space="0" w:color="auto"/>
        <w:left w:val="none" w:sz="0" w:space="0" w:color="auto"/>
        <w:bottom w:val="none" w:sz="0" w:space="0" w:color="auto"/>
        <w:right w:val="none" w:sz="0" w:space="0" w:color="auto"/>
      </w:divBdr>
      <w:divsChild>
        <w:div w:id="734550185">
          <w:marLeft w:val="0"/>
          <w:marRight w:val="0"/>
          <w:marTop w:val="0"/>
          <w:marBottom w:val="0"/>
          <w:divBdr>
            <w:top w:val="none" w:sz="0" w:space="0" w:color="auto"/>
            <w:left w:val="none" w:sz="0" w:space="0" w:color="auto"/>
            <w:bottom w:val="none" w:sz="0" w:space="0" w:color="auto"/>
            <w:right w:val="none" w:sz="0" w:space="0" w:color="auto"/>
          </w:divBdr>
          <w:divsChild>
            <w:div w:id="417943675">
              <w:marLeft w:val="0"/>
              <w:marRight w:val="0"/>
              <w:marTop w:val="0"/>
              <w:marBottom w:val="0"/>
              <w:divBdr>
                <w:top w:val="none" w:sz="0" w:space="0" w:color="auto"/>
                <w:left w:val="none" w:sz="0" w:space="0" w:color="auto"/>
                <w:bottom w:val="none" w:sz="0" w:space="0" w:color="auto"/>
                <w:right w:val="none" w:sz="0" w:space="0" w:color="auto"/>
              </w:divBdr>
            </w:div>
          </w:divsChild>
        </w:div>
        <w:div w:id="1070420405">
          <w:marLeft w:val="0"/>
          <w:marRight w:val="0"/>
          <w:marTop w:val="0"/>
          <w:marBottom w:val="0"/>
          <w:divBdr>
            <w:top w:val="none" w:sz="0" w:space="0" w:color="auto"/>
            <w:left w:val="none" w:sz="0" w:space="0" w:color="auto"/>
            <w:bottom w:val="none" w:sz="0" w:space="0" w:color="auto"/>
            <w:right w:val="none" w:sz="0" w:space="0" w:color="auto"/>
          </w:divBdr>
          <w:divsChild>
            <w:div w:id="1801801004">
              <w:marLeft w:val="-75"/>
              <w:marRight w:val="0"/>
              <w:marTop w:val="30"/>
              <w:marBottom w:val="30"/>
              <w:divBdr>
                <w:top w:val="none" w:sz="0" w:space="0" w:color="auto"/>
                <w:left w:val="none" w:sz="0" w:space="0" w:color="auto"/>
                <w:bottom w:val="none" w:sz="0" w:space="0" w:color="auto"/>
                <w:right w:val="none" w:sz="0" w:space="0" w:color="auto"/>
              </w:divBdr>
              <w:divsChild>
                <w:div w:id="1973487017">
                  <w:marLeft w:val="0"/>
                  <w:marRight w:val="0"/>
                  <w:marTop w:val="0"/>
                  <w:marBottom w:val="0"/>
                  <w:divBdr>
                    <w:top w:val="none" w:sz="0" w:space="0" w:color="auto"/>
                    <w:left w:val="none" w:sz="0" w:space="0" w:color="auto"/>
                    <w:bottom w:val="none" w:sz="0" w:space="0" w:color="auto"/>
                    <w:right w:val="none" w:sz="0" w:space="0" w:color="auto"/>
                  </w:divBdr>
                  <w:divsChild>
                    <w:div w:id="1674914775">
                      <w:marLeft w:val="0"/>
                      <w:marRight w:val="0"/>
                      <w:marTop w:val="0"/>
                      <w:marBottom w:val="0"/>
                      <w:divBdr>
                        <w:top w:val="none" w:sz="0" w:space="0" w:color="auto"/>
                        <w:left w:val="none" w:sz="0" w:space="0" w:color="auto"/>
                        <w:bottom w:val="none" w:sz="0" w:space="0" w:color="auto"/>
                        <w:right w:val="none" w:sz="0" w:space="0" w:color="auto"/>
                      </w:divBdr>
                    </w:div>
                  </w:divsChild>
                </w:div>
                <w:div w:id="1605335413">
                  <w:marLeft w:val="0"/>
                  <w:marRight w:val="0"/>
                  <w:marTop w:val="0"/>
                  <w:marBottom w:val="0"/>
                  <w:divBdr>
                    <w:top w:val="none" w:sz="0" w:space="0" w:color="auto"/>
                    <w:left w:val="none" w:sz="0" w:space="0" w:color="auto"/>
                    <w:bottom w:val="none" w:sz="0" w:space="0" w:color="auto"/>
                    <w:right w:val="none" w:sz="0" w:space="0" w:color="auto"/>
                  </w:divBdr>
                  <w:divsChild>
                    <w:div w:id="767240724">
                      <w:marLeft w:val="0"/>
                      <w:marRight w:val="0"/>
                      <w:marTop w:val="0"/>
                      <w:marBottom w:val="0"/>
                      <w:divBdr>
                        <w:top w:val="none" w:sz="0" w:space="0" w:color="auto"/>
                        <w:left w:val="none" w:sz="0" w:space="0" w:color="auto"/>
                        <w:bottom w:val="none" w:sz="0" w:space="0" w:color="auto"/>
                        <w:right w:val="none" w:sz="0" w:space="0" w:color="auto"/>
                      </w:divBdr>
                    </w:div>
                  </w:divsChild>
                </w:div>
                <w:div w:id="224266611">
                  <w:marLeft w:val="0"/>
                  <w:marRight w:val="0"/>
                  <w:marTop w:val="0"/>
                  <w:marBottom w:val="0"/>
                  <w:divBdr>
                    <w:top w:val="none" w:sz="0" w:space="0" w:color="auto"/>
                    <w:left w:val="none" w:sz="0" w:space="0" w:color="auto"/>
                    <w:bottom w:val="none" w:sz="0" w:space="0" w:color="auto"/>
                    <w:right w:val="none" w:sz="0" w:space="0" w:color="auto"/>
                  </w:divBdr>
                  <w:divsChild>
                    <w:div w:id="593903053">
                      <w:marLeft w:val="0"/>
                      <w:marRight w:val="0"/>
                      <w:marTop w:val="0"/>
                      <w:marBottom w:val="0"/>
                      <w:divBdr>
                        <w:top w:val="none" w:sz="0" w:space="0" w:color="auto"/>
                        <w:left w:val="none" w:sz="0" w:space="0" w:color="auto"/>
                        <w:bottom w:val="none" w:sz="0" w:space="0" w:color="auto"/>
                        <w:right w:val="none" w:sz="0" w:space="0" w:color="auto"/>
                      </w:divBdr>
                    </w:div>
                  </w:divsChild>
                </w:div>
                <w:div w:id="900100329">
                  <w:marLeft w:val="0"/>
                  <w:marRight w:val="0"/>
                  <w:marTop w:val="0"/>
                  <w:marBottom w:val="0"/>
                  <w:divBdr>
                    <w:top w:val="none" w:sz="0" w:space="0" w:color="auto"/>
                    <w:left w:val="none" w:sz="0" w:space="0" w:color="auto"/>
                    <w:bottom w:val="none" w:sz="0" w:space="0" w:color="auto"/>
                    <w:right w:val="none" w:sz="0" w:space="0" w:color="auto"/>
                  </w:divBdr>
                  <w:divsChild>
                    <w:div w:id="203100309">
                      <w:marLeft w:val="0"/>
                      <w:marRight w:val="0"/>
                      <w:marTop w:val="0"/>
                      <w:marBottom w:val="0"/>
                      <w:divBdr>
                        <w:top w:val="none" w:sz="0" w:space="0" w:color="auto"/>
                        <w:left w:val="none" w:sz="0" w:space="0" w:color="auto"/>
                        <w:bottom w:val="none" w:sz="0" w:space="0" w:color="auto"/>
                        <w:right w:val="none" w:sz="0" w:space="0" w:color="auto"/>
                      </w:divBdr>
                    </w:div>
                  </w:divsChild>
                </w:div>
                <w:div w:id="821699741">
                  <w:marLeft w:val="0"/>
                  <w:marRight w:val="0"/>
                  <w:marTop w:val="0"/>
                  <w:marBottom w:val="0"/>
                  <w:divBdr>
                    <w:top w:val="none" w:sz="0" w:space="0" w:color="auto"/>
                    <w:left w:val="none" w:sz="0" w:space="0" w:color="auto"/>
                    <w:bottom w:val="none" w:sz="0" w:space="0" w:color="auto"/>
                    <w:right w:val="none" w:sz="0" w:space="0" w:color="auto"/>
                  </w:divBdr>
                  <w:divsChild>
                    <w:div w:id="934283389">
                      <w:marLeft w:val="0"/>
                      <w:marRight w:val="0"/>
                      <w:marTop w:val="0"/>
                      <w:marBottom w:val="0"/>
                      <w:divBdr>
                        <w:top w:val="none" w:sz="0" w:space="0" w:color="auto"/>
                        <w:left w:val="none" w:sz="0" w:space="0" w:color="auto"/>
                        <w:bottom w:val="none" w:sz="0" w:space="0" w:color="auto"/>
                        <w:right w:val="none" w:sz="0" w:space="0" w:color="auto"/>
                      </w:divBdr>
                    </w:div>
                  </w:divsChild>
                </w:div>
                <w:div w:id="933905606">
                  <w:marLeft w:val="0"/>
                  <w:marRight w:val="0"/>
                  <w:marTop w:val="0"/>
                  <w:marBottom w:val="0"/>
                  <w:divBdr>
                    <w:top w:val="none" w:sz="0" w:space="0" w:color="auto"/>
                    <w:left w:val="none" w:sz="0" w:space="0" w:color="auto"/>
                    <w:bottom w:val="none" w:sz="0" w:space="0" w:color="auto"/>
                    <w:right w:val="none" w:sz="0" w:space="0" w:color="auto"/>
                  </w:divBdr>
                  <w:divsChild>
                    <w:div w:id="785540021">
                      <w:marLeft w:val="0"/>
                      <w:marRight w:val="0"/>
                      <w:marTop w:val="0"/>
                      <w:marBottom w:val="0"/>
                      <w:divBdr>
                        <w:top w:val="none" w:sz="0" w:space="0" w:color="auto"/>
                        <w:left w:val="none" w:sz="0" w:space="0" w:color="auto"/>
                        <w:bottom w:val="none" w:sz="0" w:space="0" w:color="auto"/>
                        <w:right w:val="none" w:sz="0" w:space="0" w:color="auto"/>
                      </w:divBdr>
                    </w:div>
                  </w:divsChild>
                </w:div>
                <w:div w:id="1489206380">
                  <w:marLeft w:val="0"/>
                  <w:marRight w:val="0"/>
                  <w:marTop w:val="0"/>
                  <w:marBottom w:val="0"/>
                  <w:divBdr>
                    <w:top w:val="none" w:sz="0" w:space="0" w:color="auto"/>
                    <w:left w:val="none" w:sz="0" w:space="0" w:color="auto"/>
                    <w:bottom w:val="none" w:sz="0" w:space="0" w:color="auto"/>
                    <w:right w:val="none" w:sz="0" w:space="0" w:color="auto"/>
                  </w:divBdr>
                  <w:divsChild>
                    <w:div w:id="148714312">
                      <w:marLeft w:val="0"/>
                      <w:marRight w:val="0"/>
                      <w:marTop w:val="0"/>
                      <w:marBottom w:val="0"/>
                      <w:divBdr>
                        <w:top w:val="none" w:sz="0" w:space="0" w:color="auto"/>
                        <w:left w:val="none" w:sz="0" w:space="0" w:color="auto"/>
                        <w:bottom w:val="none" w:sz="0" w:space="0" w:color="auto"/>
                        <w:right w:val="none" w:sz="0" w:space="0" w:color="auto"/>
                      </w:divBdr>
                    </w:div>
                  </w:divsChild>
                </w:div>
                <w:div w:id="417865737">
                  <w:marLeft w:val="0"/>
                  <w:marRight w:val="0"/>
                  <w:marTop w:val="0"/>
                  <w:marBottom w:val="0"/>
                  <w:divBdr>
                    <w:top w:val="none" w:sz="0" w:space="0" w:color="auto"/>
                    <w:left w:val="none" w:sz="0" w:space="0" w:color="auto"/>
                    <w:bottom w:val="none" w:sz="0" w:space="0" w:color="auto"/>
                    <w:right w:val="none" w:sz="0" w:space="0" w:color="auto"/>
                  </w:divBdr>
                  <w:divsChild>
                    <w:div w:id="14855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3765">
          <w:marLeft w:val="0"/>
          <w:marRight w:val="0"/>
          <w:marTop w:val="0"/>
          <w:marBottom w:val="0"/>
          <w:divBdr>
            <w:top w:val="none" w:sz="0" w:space="0" w:color="auto"/>
            <w:left w:val="none" w:sz="0" w:space="0" w:color="auto"/>
            <w:bottom w:val="none" w:sz="0" w:space="0" w:color="auto"/>
            <w:right w:val="none" w:sz="0" w:space="0" w:color="auto"/>
          </w:divBdr>
        </w:div>
      </w:divsChild>
    </w:div>
    <w:div w:id="1246768758">
      <w:bodyDiv w:val="1"/>
      <w:marLeft w:val="0"/>
      <w:marRight w:val="0"/>
      <w:marTop w:val="0"/>
      <w:marBottom w:val="0"/>
      <w:divBdr>
        <w:top w:val="none" w:sz="0" w:space="0" w:color="auto"/>
        <w:left w:val="none" w:sz="0" w:space="0" w:color="auto"/>
        <w:bottom w:val="none" w:sz="0" w:space="0" w:color="auto"/>
        <w:right w:val="none" w:sz="0" w:space="0" w:color="auto"/>
      </w:divBdr>
    </w:div>
    <w:div w:id="1380278024">
      <w:bodyDiv w:val="1"/>
      <w:marLeft w:val="0"/>
      <w:marRight w:val="0"/>
      <w:marTop w:val="0"/>
      <w:marBottom w:val="0"/>
      <w:divBdr>
        <w:top w:val="none" w:sz="0" w:space="0" w:color="auto"/>
        <w:left w:val="none" w:sz="0" w:space="0" w:color="auto"/>
        <w:bottom w:val="none" w:sz="0" w:space="0" w:color="auto"/>
        <w:right w:val="none" w:sz="0" w:space="0" w:color="auto"/>
      </w:divBdr>
    </w:div>
    <w:div w:id="1507328583">
      <w:bodyDiv w:val="1"/>
      <w:marLeft w:val="0"/>
      <w:marRight w:val="0"/>
      <w:marTop w:val="0"/>
      <w:marBottom w:val="0"/>
      <w:divBdr>
        <w:top w:val="none" w:sz="0" w:space="0" w:color="auto"/>
        <w:left w:val="none" w:sz="0" w:space="0" w:color="auto"/>
        <w:bottom w:val="none" w:sz="0" w:space="0" w:color="auto"/>
        <w:right w:val="none" w:sz="0" w:space="0" w:color="auto"/>
      </w:divBdr>
    </w:div>
    <w:div w:id="1622952403">
      <w:bodyDiv w:val="1"/>
      <w:marLeft w:val="0"/>
      <w:marRight w:val="0"/>
      <w:marTop w:val="0"/>
      <w:marBottom w:val="0"/>
      <w:divBdr>
        <w:top w:val="none" w:sz="0" w:space="0" w:color="auto"/>
        <w:left w:val="none" w:sz="0" w:space="0" w:color="auto"/>
        <w:bottom w:val="none" w:sz="0" w:space="0" w:color="auto"/>
        <w:right w:val="none" w:sz="0" w:space="0" w:color="auto"/>
      </w:divBdr>
      <w:divsChild>
        <w:div w:id="94060769">
          <w:marLeft w:val="0"/>
          <w:marRight w:val="0"/>
          <w:marTop w:val="0"/>
          <w:marBottom w:val="0"/>
          <w:divBdr>
            <w:top w:val="none" w:sz="0" w:space="0" w:color="auto"/>
            <w:left w:val="none" w:sz="0" w:space="0" w:color="auto"/>
            <w:bottom w:val="none" w:sz="0" w:space="0" w:color="auto"/>
            <w:right w:val="none" w:sz="0" w:space="0" w:color="auto"/>
          </w:divBdr>
        </w:div>
        <w:div w:id="1079865247">
          <w:marLeft w:val="0"/>
          <w:marRight w:val="0"/>
          <w:marTop w:val="0"/>
          <w:marBottom w:val="0"/>
          <w:divBdr>
            <w:top w:val="none" w:sz="0" w:space="0" w:color="auto"/>
            <w:left w:val="none" w:sz="0" w:space="0" w:color="auto"/>
            <w:bottom w:val="none" w:sz="0" w:space="0" w:color="auto"/>
            <w:right w:val="none" w:sz="0" w:space="0" w:color="auto"/>
          </w:divBdr>
        </w:div>
      </w:divsChild>
    </w:div>
    <w:div w:id="1633056996">
      <w:bodyDiv w:val="1"/>
      <w:marLeft w:val="0"/>
      <w:marRight w:val="0"/>
      <w:marTop w:val="0"/>
      <w:marBottom w:val="0"/>
      <w:divBdr>
        <w:top w:val="none" w:sz="0" w:space="0" w:color="auto"/>
        <w:left w:val="none" w:sz="0" w:space="0" w:color="auto"/>
        <w:bottom w:val="none" w:sz="0" w:space="0" w:color="auto"/>
        <w:right w:val="none" w:sz="0" w:space="0" w:color="auto"/>
      </w:divBdr>
    </w:div>
    <w:div w:id="1702238763">
      <w:bodyDiv w:val="1"/>
      <w:marLeft w:val="0"/>
      <w:marRight w:val="0"/>
      <w:marTop w:val="0"/>
      <w:marBottom w:val="0"/>
      <w:divBdr>
        <w:top w:val="none" w:sz="0" w:space="0" w:color="auto"/>
        <w:left w:val="none" w:sz="0" w:space="0" w:color="auto"/>
        <w:bottom w:val="none" w:sz="0" w:space="0" w:color="auto"/>
        <w:right w:val="none" w:sz="0" w:space="0" w:color="auto"/>
      </w:divBdr>
      <w:divsChild>
        <w:div w:id="2046902755">
          <w:marLeft w:val="0"/>
          <w:marRight w:val="0"/>
          <w:marTop w:val="0"/>
          <w:marBottom w:val="0"/>
          <w:divBdr>
            <w:top w:val="none" w:sz="0" w:space="0" w:color="auto"/>
            <w:left w:val="none" w:sz="0" w:space="0" w:color="auto"/>
            <w:bottom w:val="none" w:sz="0" w:space="0" w:color="auto"/>
            <w:right w:val="none" w:sz="0" w:space="0" w:color="auto"/>
          </w:divBdr>
        </w:div>
        <w:div w:id="766391863">
          <w:marLeft w:val="0"/>
          <w:marRight w:val="0"/>
          <w:marTop w:val="0"/>
          <w:marBottom w:val="0"/>
          <w:divBdr>
            <w:top w:val="none" w:sz="0" w:space="0" w:color="auto"/>
            <w:left w:val="none" w:sz="0" w:space="0" w:color="auto"/>
            <w:bottom w:val="none" w:sz="0" w:space="0" w:color="auto"/>
            <w:right w:val="none" w:sz="0" w:space="0" w:color="auto"/>
          </w:divBdr>
        </w:div>
      </w:divsChild>
    </w:div>
    <w:div w:id="1855146019">
      <w:bodyDiv w:val="1"/>
      <w:marLeft w:val="0"/>
      <w:marRight w:val="0"/>
      <w:marTop w:val="0"/>
      <w:marBottom w:val="0"/>
      <w:divBdr>
        <w:top w:val="none" w:sz="0" w:space="0" w:color="auto"/>
        <w:left w:val="none" w:sz="0" w:space="0" w:color="auto"/>
        <w:bottom w:val="none" w:sz="0" w:space="0" w:color="auto"/>
        <w:right w:val="none" w:sz="0" w:space="0" w:color="auto"/>
      </w:divBdr>
    </w:div>
    <w:div w:id="20991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mailto:medicine.question@dorsetccg.nhs.uk"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2" ma:contentTypeDescription="Create a new document." ma:contentTypeScope="" ma:versionID="f7594caa82bba676abc1866a258309b1">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e751a18b85b8a748e40d28cf8ecbe43"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e48db1-6413-4421-93ff-c771958d5b59" xsi:nil="true"/>
    <lcf76f155ced4ddcb4097134ff3c332f xmlns="75f2f1f1-c8e8-4ae2-b5c9-1df9fd3534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F9ECB2-7E0D-4052-ACBC-557ADCB62F96}"/>
</file>

<file path=customXml/itemProps2.xml><?xml version="1.0" encoding="utf-8"?>
<ds:datastoreItem xmlns:ds="http://schemas.openxmlformats.org/officeDocument/2006/customXml" ds:itemID="{5676D5F2-9DCB-4AE0-B1E2-2A78B1216991}"/>
</file>

<file path=customXml/itemProps3.xml><?xml version="1.0" encoding="utf-8"?>
<ds:datastoreItem xmlns:ds="http://schemas.openxmlformats.org/officeDocument/2006/customXml" ds:itemID="{6363A81F-DECE-48E8-998F-A855E19802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Debra (Dorset CCG)</dc:creator>
  <cp:keywords/>
  <dc:description/>
  <cp:lastModifiedBy>Butler, Debra (Dorset CCG)</cp:lastModifiedBy>
  <cp:revision>3</cp:revision>
  <dcterms:created xsi:type="dcterms:W3CDTF">2022-04-13T14:31:00Z</dcterms:created>
  <dcterms:modified xsi:type="dcterms:W3CDTF">2022-04-28T15:38:32Z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0x010100FEB9A0CA2D315648B1BA2102552B83EA</vt:lpwstr>
  </property>
</Properties>
</file>