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7910" w:rsidR="00256FF2" w:rsidP="00212EE7" w:rsidRDefault="00880503" w14:paraId="672A6659" w14:textId="210C1F55">
      <w:pPr>
        <w:jc w:val="center"/>
        <w:rPr>
          <w:rFonts w:ascii="Arial" w:hAnsi="Arial" w:cs="Arial"/>
          <w:b/>
          <w:bCs/>
          <w:sz w:val="20"/>
          <w:szCs w:val="20"/>
        </w:rPr>
      </w:pPr>
      <w:r w:rsidRPr="1BD5C7BB">
        <w:rPr>
          <w:rFonts w:ascii="Arial" w:hAnsi="Arial" w:cs="Arial"/>
          <w:b/>
          <w:bCs/>
          <w:sz w:val="20"/>
          <w:szCs w:val="20"/>
        </w:rPr>
        <w:t xml:space="preserve">Structured Medication Reviews </w:t>
      </w:r>
      <w:r w:rsidRPr="1BD5C7BB" w:rsidR="005C21D2">
        <w:rPr>
          <w:rFonts w:ascii="Arial" w:hAnsi="Arial" w:cs="Arial"/>
          <w:b/>
          <w:bCs/>
          <w:sz w:val="20"/>
          <w:szCs w:val="20"/>
        </w:rPr>
        <w:t>and</w:t>
      </w:r>
      <w:r w:rsidRPr="1BD5C7BB" w:rsidR="006B4762">
        <w:rPr>
          <w:rFonts w:ascii="Arial" w:hAnsi="Arial" w:cs="Arial"/>
          <w:b/>
          <w:bCs/>
          <w:sz w:val="20"/>
          <w:szCs w:val="20"/>
        </w:rPr>
        <w:t xml:space="preserve"> </w:t>
      </w:r>
      <w:r w:rsidRPr="1BD5C7BB" w:rsidR="005E205F">
        <w:rPr>
          <w:rFonts w:ascii="Arial" w:hAnsi="Arial" w:cs="Arial"/>
          <w:b/>
          <w:bCs/>
          <w:sz w:val="20"/>
          <w:szCs w:val="20"/>
        </w:rPr>
        <w:t>D</w:t>
      </w:r>
      <w:r w:rsidRPr="1BD5C7BB" w:rsidR="006B4762">
        <w:rPr>
          <w:rFonts w:ascii="Arial" w:hAnsi="Arial" w:cs="Arial"/>
          <w:b/>
          <w:bCs/>
          <w:sz w:val="20"/>
          <w:szCs w:val="20"/>
        </w:rPr>
        <w:t xml:space="preserve">irect </w:t>
      </w:r>
      <w:r w:rsidRPr="1BD5C7BB" w:rsidR="005E205F">
        <w:rPr>
          <w:rFonts w:ascii="Arial" w:hAnsi="Arial" w:cs="Arial"/>
          <w:b/>
          <w:bCs/>
          <w:sz w:val="20"/>
          <w:szCs w:val="20"/>
        </w:rPr>
        <w:t>O</w:t>
      </w:r>
      <w:r w:rsidRPr="1BD5C7BB" w:rsidR="006B4762">
        <w:rPr>
          <w:rFonts w:ascii="Arial" w:hAnsi="Arial" w:cs="Arial"/>
          <w:b/>
          <w:bCs/>
          <w:sz w:val="20"/>
          <w:szCs w:val="20"/>
        </w:rPr>
        <w:t xml:space="preserve">ral </w:t>
      </w:r>
      <w:r w:rsidRPr="1BD5C7BB" w:rsidR="005E205F">
        <w:rPr>
          <w:rFonts w:ascii="Arial" w:hAnsi="Arial" w:cs="Arial"/>
          <w:b/>
          <w:bCs/>
          <w:sz w:val="20"/>
          <w:szCs w:val="20"/>
        </w:rPr>
        <w:t>A</w:t>
      </w:r>
      <w:r w:rsidRPr="1BD5C7BB" w:rsidR="006B4762">
        <w:rPr>
          <w:rFonts w:ascii="Arial" w:hAnsi="Arial" w:cs="Arial"/>
          <w:b/>
          <w:bCs/>
          <w:sz w:val="20"/>
          <w:szCs w:val="20"/>
        </w:rPr>
        <w:t>nticoagulants</w:t>
      </w:r>
      <w:r w:rsidRPr="1BD5C7BB" w:rsidR="005C21D2">
        <w:rPr>
          <w:rFonts w:ascii="Arial" w:hAnsi="Arial" w:cs="Arial"/>
          <w:b/>
          <w:bCs/>
          <w:sz w:val="20"/>
          <w:szCs w:val="20"/>
        </w:rPr>
        <w:t xml:space="preserve"> </w:t>
      </w:r>
      <w:r w:rsidRPr="1BD5C7BB">
        <w:rPr>
          <w:rFonts w:ascii="Arial" w:hAnsi="Arial" w:cs="Arial"/>
          <w:b/>
          <w:bCs/>
          <w:sz w:val="20"/>
          <w:szCs w:val="20"/>
        </w:rPr>
        <w:t>(</w:t>
      </w:r>
      <w:r w:rsidRPr="1BD5C7BB" w:rsidR="005C21D2">
        <w:rPr>
          <w:rFonts w:ascii="Arial" w:hAnsi="Arial" w:cs="Arial"/>
          <w:b/>
          <w:bCs/>
          <w:sz w:val="20"/>
          <w:szCs w:val="20"/>
        </w:rPr>
        <w:t>DOAC</w:t>
      </w:r>
      <w:r w:rsidRPr="1BD5C7BB">
        <w:rPr>
          <w:rFonts w:ascii="Arial" w:hAnsi="Arial" w:cs="Arial"/>
          <w:b/>
          <w:bCs/>
          <w:sz w:val="20"/>
          <w:szCs w:val="20"/>
        </w:rPr>
        <w:t>s)</w:t>
      </w:r>
      <w:r w:rsidRPr="1BD5C7BB" w:rsidR="005C21D2">
        <w:rPr>
          <w:rFonts w:ascii="Arial" w:hAnsi="Arial" w:cs="Arial"/>
          <w:b/>
          <w:bCs/>
          <w:sz w:val="20"/>
          <w:szCs w:val="20"/>
        </w:rPr>
        <w:t xml:space="preserve"> IIF </w:t>
      </w:r>
      <w:r w:rsidRPr="1BD5C7BB" w:rsidR="00117609">
        <w:rPr>
          <w:rFonts w:ascii="Arial" w:hAnsi="Arial" w:cs="Arial"/>
          <w:b/>
          <w:bCs/>
          <w:sz w:val="20"/>
          <w:szCs w:val="20"/>
        </w:rPr>
        <w:t>Dorset Resource Guide</w:t>
      </w:r>
    </w:p>
    <w:p w:rsidR="1BD5C7BB" w:rsidP="1BD5C7BB" w:rsidRDefault="1BD5C7BB" w14:paraId="1DD0511C" w14:textId="614E5C08">
      <w:pPr>
        <w:rPr>
          <w:rFonts w:ascii="Arial" w:hAnsi="Arial" w:cs="Arial"/>
          <w:b/>
          <w:bCs/>
          <w:sz w:val="20"/>
          <w:szCs w:val="20"/>
        </w:rPr>
      </w:pPr>
      <w:r w:rsidRPr="1BD5C7BB">
        <w:rPr>
          <w:rFonts w:ascii="Arial" w:hAnsi="Arial" w:cs="Arial"/>
          <w:b/>
          <w:bCs/>
          <w:sz w:val="20"/>
          <w:szCs w:val="20"/>
        </w:rPr>
        <w:t>General Introduction and Background</w:t>
      </w:r>
    </w:p>
    <w:p w:rsidR="0EDB2B66" w:rsidP="0EDB2B66" w:rsidRDefault="0EDB2B66" w14:paraId="7420C460" w14:textId="4C6B76F0">
      <w:pPr>
        <w:jc w:val="both"/>
        <w:rPr>
          <w:rFonts w:ascii="Arial" w:hAnsi="Arial" w:eastAsia="Arial" w:cs="Arial"/>
          <w:color w:val="000000" w:themeColor="text1"/>
          <w:sz w:val="20"/>
          <w:szCs w:val="20"/>
        </w:rPr>
      </w:pPr>
      <w:r w:rsidRPr="0EDB2B66">
        <w:rPr>
          <w:rFonts w:ascii="Arial" w:hAnsi="Arial" w:eastAsia="Arial" w:cs="Arial"/>
          <w:color w:val="000000" w:themeColor="text1"/>
          <w:sz w:val="20"/>
          <w:szCs w:val="20"/>
        </w:rPr>
        <w:t xml:space="preserve">Following the national procurement agreement for DOACs and the publication of the new IIF indicators for 22/23 we have put together some resources to support PCNs with these areas of work. </w:t>
      </w:r>
    </w:p>
    <w:p w:rsidR="0EDB2B66" w:rsidP="3FDDD580" w:rsidRDefault="0EDB2B66" w14:paraId="55A0AE20" w14:textId="0DCB5D7F">
      <w:pPr>
        <w:jc w:val="both"/>
        <w:rPr>
          <w:rFonts w:ascii="Arial" w:hAnsi="Arial" w:eastAsia="Arial" w:cs="Arial"/>
          <w:color w:val="000000" w:themeColor="text1"/>
          <w:sz w:val="20"/>
          <w:szCs w:val="20"/>
        </w:rPr>
      </w:pPr>
      <w:r w:rsidRPr="3FDDD580">
        <w:rPr>
          <w:rFonts w:ascii="Arial" w:hAnsi="Arial" w:eastAsia="Arial" w:cs="Arial"/>
          <w:color w:val="000000" w:themeColor="text1"/>
          <w:sz w:val="20"/>
          <w:szCs w:val="20"/>
        </w:rPr>
        <w:t xml:space="preserve">The national plan to accelerate the uptake of DOACs could see over 600,000 more patients receive treatment over the next three years, with the opportunity to prevent tens of thousands of stroke events.  NHS England recently published </w:t>
      </w:r>
      <w:hyperlink r:id="rId8">
        <w:r w:rsidRPr="3FDDD580">
          <w:rPr>
            <w:rStyle w:val="Hyperlink"/>
            <w:rFonts w:ascii="Arial" w:hAnsi="Arial" w:eastAsia="Arial" w:cs="Arial"/>
            <w:sz w:val="20"/>
            <w:szCs w:val="20"/>
          </w:rPr>
          <w:t>Commissioning Guidance</w:t>
        </w:r>
      </w:hyperlink>
      <w:r w:rsidRPr="3FDDD580">
        <w:rPr>
          <w:rFonts w:ascii="Arial" w:hAnsi="Arial" w:eastAsia="Arial" w:cs="Arial"/>
          <w:color w:val="000000" w:themeColor="text1"/>
          <w:sz w:val="20"/>
          <w:szCs w:val="20"/>
        </w:rPr>
        <w:t xml:space="preserve"> for DOACs which recommends that clinicians should use </w:t>
      </w:r>
      <w:proofErr w:type="spellStart"/>
      <w:r w:rsidRPr="3FDDD580">
        <w:rPr>
          <w:rFonts w:ascii="Arial" w:hAnsi="Arial" w:eastAsia="Arial" w:cs="Arial"/>
          <w:color w:val="000000" w:themeColor="text1"/>
          <w:sz w:val="20"/>
          <w:szCs w:val="20"/>
        </w:rPr>
        <w:t>edoxaban</w:t>
      </w:r>
      <w:proofErr w:type="spellEnd"/>
      <w:r w:rsidRPr="3FDDD580">
        <w:rPr>
          <w:rFonts w:ascii="Arial" w:hAnsi="Arial" w:eastAsia="Arial" w:cs="Arial"/>
          <w:color w:val="000000" w:themeColor="text1"/>
          <w:sz w:val="20"/>
          <w:szCs w:val="20"/>
        </w:rPr>
        <w:t xml:space="preserve">, where clinically appropriate, consistent with the latest guidance from the National Institute for health and Care Excellence (NICE).  This approach has also been endorsed by the UK’s leading stroke charity, Stroke Association. To support the new DOAC guidance. NHSE has funded two new PCN IIF indicators CVD-05 encourages more AF patients to be treated with DOACs and CVD-06 encourages, where clinically appropriate, more patients with AF to be treated with DOACs to be prescribed </w:t>
      </w:r>
      <w:proofErr w:type="spellStart"/>
      <w:r w:rsidRPr="3FDDD580">
        <w:rPr>
          <w:rFonts w:ascii="Arial" w:hAnsi="Arial" w:eastAsia="Arial" w:cs="Arial"/>
          <w:color w:val="000000" w:themeColor="text1"/>
          <w:sz w:val="20"/>
          <w:szCs w:val="20"/>
        </w:rPr>
        <w:t>Edoxaban</w:t>
      </w:r>
      <w:proofErr w:type="spellEnd"/>
      <w:r w:rsidRPr="3FDDD580">
        <w:rPr>
          <w:rFonts w:ascii="Arial" w:hAnsi="Arial" w:eastAsia="Arial" w:cs="Arial"/>
          <w:color w:val="000000" w:themeColor="text1"/>
          <w:sz w:val="20"/>
          <w:szCs w:val="20"/>
        </w:rPr>
        <w:t xml:space="preserve">. One of the stated aims of the IIF is to make the NHS more sustainable. These indicators were developed with this in mind and could realise substantial financial savings for the NHS. We are asking for your professional assistance, and that of your PCN pharmacy teams, to deliver these indicators. </w:t>
      </w:r>
    </w:p>
    <w:p w:rsidR="0EDB2B66" w:rsidP="0EDB2B66" w:rsidRDefault="0EDB2B66" w14:paraId="72890C32" w14:textId="5E2A2A0D">
      <w:pPr>
        <w:jc w:val="both"/>
        <w:rPr>
          <w:rFonts w:ascii="Arial" w:hAnsi="Arial" w:eastAsia="Arial" w:cs="Arial"/>
          <w:color w:val="000000" w:themeColor="text1"/>
          <w:sz w:val="20"/>
          <w:szCs w:val="20"/>
        </w:rPr>
      </w:pPr>
      <w:r w:rsidRPr="0EDB2B66">
        <w:rPr>
          <w:rFonts w:ascii="Arial" w:hAnsi="Arial" w:eastAsia="Arial" w:cs="Arial"/>
          <w:color w:val="030303"/>
          <w:sz w:val="20"/>
          <w:szCs w:val="20"/>
        </w:rPr>
        <w:t xml:space="preserve"> </w:t>
      </w:r>
      <w:hyperlink r:id="rId9">
        <w:r w:rsidRPr="0EDB2B66">
          <w:rPr>
            <w:rStyle w:val="Hyperlink"/>
            <w:rFonts w:ascii="Arial" w:hAnsi="Arial" w:eastAsia="Arial" w:cs="Arial"/>
            <w:sz w:val="20"/>
            <w:szCs w:val="20"/>
          </w:rPr>
          <w:t>NHS England » Network Contract Directed Enhanced Service – Investment and Impact Fund 2022/23: Updated Guidance</w:t>
        </w:r>
      </w:hyperlink>
    </w:p>
    <w:p w:rsidR="0EDB2B66" w:rsidP="0EDB2B66" w:rsidRDefault="0EDB2B66" w14:paraId="247168CF" w14:textId="5E6F4CED">
      <w:pPr>
        <w:jc w:val="both"/>
        <w:rPr>
          <w:rFonts w:ascii="Arial" w:hAnsi="Arial" w:eastAsia="Arial" w:cs="Arial"/>
          <w:color w:val="000000" w:themeColor="text1"/>
          <w:sz w:val="20"/>
          <w:szCs w:val="20"/>
        </w:rPr>
      </w:pPr>
      <w:r w:rsidRPr="0EDB2B66">
        <w:rPr>
          <w:rFonts w:ascii="Arial" w:hAnsi="Arial" w:eastAsia="Arial" w:cs="Arial"/>
          <w:color w:val="000000" w:themeColor="text1"/>
          <w:sz w:val="20"/>
          <w:szCs w:val="20"/>
        </w:rPr>
        <w:t>SMR-01a &amp; SMR-02 indicators aim to reduce medicines related harm and in significant aspects overlap with optimising DOAC assessment and review we have designed searches which identify patients that fall into both to aid efficient use of resource, extract from IIF guidance:</w:t>
      </w:r>
    </w:p>
    <w:p w:rsidR="0EDB2B66" w:rsidP="0EDB2B66" w:rsidRDefault="0EDB2B66" w14:paraId="618D926E" w14:textId="35990E97">
      <w:pPr>
        <w:jc w:val="both"/>
        <w:rPr>
          <w:rFonts w:ascii="Arial" w:hAnsi="Arial" w:eastAsia="Arial" w:cs="Arial"/>
          <w:color w:val="000000" w:themeColor="text1"/>
          <w:sz w:val="20"/>
          <w:szCs w:val="20"/>
        </w:rPr>
      </w:pPr>
      <w:r w:rsidRPr="2846C5D6" w:rsidR="04C5EBE5">
        <w:rPr>
          <w:rFonts w:ascii="Arial" w:hAnsi="Arial" w:eastAsia="Arial" w:cs="Arial"/>
          <w:color w:val="000000" w:themeColor="text1" w:themeTint="FF" w:themeShade="FF"/>
          <w:sz w:val="20"/>
          <w:szCs w:val="20"/>
        </w:rPr>
        <w:t>‘Provide Structured Medication Reviews (SMRs) to patients who are eligible for them. Review patients who are prescribed medicines, alone or in combination, which have higher risk of harm such as dependency or gastrointestinal haemorrhage</w:t>
      </w:r>
      <w:r w:rsidRPr="2846C5D6" w:rsidR="04C5EBE5">
        <w:rPr>
          <w:rFonts w:ascii="Arial" w:hAnsi="Arial" w:eastAsia="Arial" w:cs="Arial"/>
          <w:color w:val="000000" w:themeColor="text1" w:themeTint="FF" w:themeShade="FF"/>
          <w:sz w:val="20"/>
          <w:szCs w:val="20"/>
        </w:rPr>
        <w:t xml:space="preserve">. </w:t>
      </w:r>
      <w:r w:rsidRPr="2846C5D6" w:rsidR="04C5EBE5">
        <w:rPr>
          <w:rFonts w:ascii="Arial" w:hAnsi="Arial" w:eastAsia="Arial" w:cs="Arial"/>
          <w:color w:val="000000" w:themeColor="text1" w:themeTint="FF" w:themeShade="FF"/>
          <w:sz w:val="20"/>
          <w:szCs w:val="20"/>
        </w:rPr>
        <w:t>Review patients who are prescribed DOACs, recording their creatinine levels, weight and calculating Creatinine Clearance to ensure the dose is correct.’</w:t>
      </w:r>
    </w:p>
    <w:p w:rsidRPr="00427910" w:rsidR="0043074F" w:rsidP="1BD5C7BB" w:rsidRDefault="0EDB2B66" w14:paraId="412BEF2D" w14:textId="039078FD">
      <w:pPr>
        <w:jc w:val="both"/>
        <w:rPr>
          <w:rFonts w:ascii="Arial" w:hAnsi="Arial" w:cs="Arial"/>
          <w:b/>
          <w:bCs/>
          <w:sz w:val="20"/>
          <w:szCs w:val="20"/>
        </w:rPr>
      </w:pPr>
      <w:r w:rsidRPr="1BD5C7BB">
        <w:rPr>
          <w:rFonts w:ascii="Arial" w:hAnsi="Arial" w:eastAsia="Arial" w:cs="Arial"/>
          <w:color w:val="000000" w:themeColor="text1"/>
          <w:sz w:val="20"/>
          <w:szCs w:val="20"/>
        </w:rPr>
        <w:t xml:space="preserve">Locally the Cardiology working group agreed that in line with NICE guidance that all the DOACs are considered clinically effective for treating AF,’ </w:t>
      </w:r>
      <w:r w:rsidRPr="1BD5C7BB">
        <w:rPr>
          <w:rFonts w:ascii="Arial" w:hAnsi="Arial" w:eastAsia="Arial" w:cs="Arial"/>
          <w:color w:val="0E0E0E"/>
          <w:sz w:val="20"/>
          <w:szCs w:val="20"/>
        </w:rPr>
        <w:t xml:space="preserve">Apixaban, dabigatran, </w:t>
      </w:r>
      <w:proofErr w:type="spellStart"/>
      <w:r w:rsidRPr="1BD5C7BB">
        <w:rPr>
          <w:rFonts w:ascii="Arial" w:hAnsi="Arial" w:eastAsia="Arial" w:cs="Arial"/>
          <w:color w:val="0E0E0E"/>
          <w:sz w:val="20"/>
          <w:szCs w:val="20"/>
        </w:rPr>
        <w:t>Edoxaban</w:t>
      </w:r>
      <w:proofErr w:type="spellEnd"/>
      <w:r w:rsidRPr="1BD5C7BB">
        <w:rPr>
          <w:rFonts w:ascii="Arial" w:hAnsi="Arial" w:eastAsia="Arial" w:cs="Arial"/>
          <w:color w:val="0E0E0E"/>
          <w:sz w:val="20"/>
          <w:szCs w:val="20"/>
        </w:rPr>
        <w:t xml:space="preserve"> and rivaroxaban are all recommended as options, when used in line with the criteria specified in the relevant NICE technology appraisal guidance (see the </w:t>
      </w:r>
      <w:hyperlink r:id="rId10">
        <w:r w:rsidRPr="1BD5C7BB">
          <w:rPr>
            <w:rStyle w:val="Hyperlink"/>
            <w:rFonts w:ascii="Arial" w:hAnsi="Arial" w:eastAsia="Arial" w:cs="Arial"/>
            <w:sz w:val="20"/>
            <w:szCs w:val="20"/>
          </w:rPr>
          <w:t>NICE technology appraisal guidance on our topic page on embolism and thrombosis</w:t>
        </w:r>
      </w:hyperlink>
      <w:r w:rsidRPr="1BD5C7BB">
        <w:rPr>
          <w:rFonts w:ascii="Arial" w:hAnsi="Arial" w:eastAsia="Arial" w:cs="Arial"/>
          <w:color w:val="0E0E0E"/>
          <w:sz w:val="20"/>
          <w:szCs w:val="20"/>
        </w:rPr>
        <w:t>). </w:t>
      </w:r>
      <w:r w:rsidRPr="1BD5C7BB">
        <w:rPr>
          <w:rStyle w:val="Strong"/>
          <w:rFonts w:ascii="Arial" w:hAnsi="Arial" w:eastAsia="Arial" w:cs="Arial"/>
          <w:color w:val="0E0E0E"/>
          <w:sz w:val="20"/>
          <w:szCs w:val="20"/>
        </w:rPr>
        <w:t>[2021]</w:t>
      </w:r>
      <w:r w:rsidRPr="1BD5C7BB">
        <w:rPr>
          <w:rFonts w:ascii="Arial" w:hAnsi="Arial" w:eastAsia="Arial" w:cs="Arial"/>
          <w:color w:val="000000" w:themeColor="text1"/>
          <w:sz w:val="20"/>
          <w:szCs w:val="20"/>
        </w:rPr>
        <w:t xml:space="preserve">.’  Link to NICE Guideline 196 </w:t>
      </w:r>
      <w:hyperlink r:id="rId11">
        <w:r w:rsidRPr="1BD5C7BB">
          <w:rPr>
            <w:rStyle w:val="Hyperlink"/>
            <w:rFonts w:ascii="Arial" w:hAnsi="Arial" w:eastAsia="Arial" w:cs="Arial"/>
            <w:sz w:val="20"/>
            <w:szCs w:val="20"/>
          </w:rPr>
          <w:t>here</w:t>
        </w:r>
      </w:hyperlink>
      <w:r w:rsidRPr="1BD5C7BB">
        <w:rPr>
          <w:rFonts w:ascii="Arial" w:hAnsi="Arial" w:eastAsia="Arial" w:cs="Arial"/>
          <w:color w:val="000000" w:themeColor="text1"/>
          <w:sz w:val="20"/>
          <w:szCs w:val="20"/>
        </w:rPr>
        <w:t xml:space="preserve">. The group approved that </w:t>
      </w:r>
      <w:proofErr w:type="spellStart"/>
      <w:r w:rsidRPr="1BD5C7BB">
        <w:rPr>
          <w:rFonts w:ascii="Arial" w:hAnsi="Arial" w:eastAsia="Arial" w:cs="Arial"/>
          <w:color w:val="000000" w:themeColor="text1"/>
          <w:sz w:val="20"/>
          <w:szCs w:val="20"/>
        </w:rPr>
        <w:t>Edoxaban</w:t>
      </w:r>
      <w:proofErr w:type="spellEnd"/>
      <w:r w:rsidRPr="1BD5C7BB">
        <w:rPr>
          <w:rFonts w:ascii="Arial" w:hAnsi="Arial" w:eastAsia="Arial" w:cs="Arial"/>
          <w:color w:val="000000" w:themeColor="text1"/>
          <w:sz w:val="20"/>
          <w:szCs w:val="20"/>
        </w:rPr>
        <w:t xml:space="preserve"> should highlighted as first choice on the formulary to support the adoption of the national procurement commissioning recommendations in Dorset. Please note that locally we are not asking for the other DOACs to be considered in any order of preference if </w:t>
      </w:r>
      <w:proofErr w:type="spellStart"/>
      <w:r w:rsidRPr="1BD5C7BB">
        <w:rPr>
          <w:rFonts w:ascii="Arial" w:hAnsi="Arial" w:eastAsia="Arial" w:cs="Arial"/>
          <w:color w:val="000000" w:themeColor="text1"/>
          <w:sz w:val="20"/>
          <w:szCs w:val="20"/>
        </w:rPr>
        <w:t>Edoxaban</w:t>
      </w:r>
      <w:proofErr w:type="spellEnd"/>
      <w:r w:rsidRPr="1BD5C7BB">
        <w:rPr>
          <w:rFonts w:ascii="Arial" w:hAnsi="Arial" w:eastAsia="Arial" w:cs="Arial"/>
          <w:color w:val="000000" w:themeColor="text1"/>
          <w:sz w:val="20"/>
          <w:szCs w:val="20"/>
        </w:rPr>
        <w:t xml:space="preserve"> is considered not appropriate first line, all will be remaining green on the formulary. Dorset formulary can be accessed </w:t>
      </w:r>
      <w:hyperlink r:id="rId12">
        <w:r w:rsidRPr="1BD5C7BB">
          <w:rPr>
            <w:rStyle w:val="Hyperlink"/>
            <w:rFonts w:ascii="Arial" w:hAnsi="Arial" w:eastAsia="Arial" w:cs="Arial"/>
            <w:sz w:val="20"/>
            <w:szCs w:val="20"/>
          </w:rPr>
          <w:t>here</w:t>
        </w:r>
      </w:hyperlink>
      <w:r w:rsidRPr="1BD5C7BB">
        <w:rPr>
          <w:rFonts w:ascii="Arial" w:hAnsi="Arial" w:eastAsia="Arial" w:cs="Arial"/>
          <w:color w:val="000000" w:themeColor="text1"/>
          <w:sz w:val="20"/>
          <w:szCs w:val="20"/>
        </w:rPr>
        <w:t>. Representatives from the cardiology working group and our team are taking it to the appropriate meetings in both acute trusts. The Chief Pharmacists at the acutes have also been cited on all the information / guidance on this. We will be monitoring the prescribing of DOACs in both Secondary and Primary Care and will pick up any issues moving forward. Communication has also gone out to community pharmacies in Dorset so they are aware of the changes and can support patients via the New Medicine Service (NMS).</w:t>
      </w:r>
    </w:p>
    <w:p w:rsidRPr="00427910" w:rsidR="0043074F" w:rsidP="1BD5C7BB" w:rsidRDefault="1BD5C7BB" w14:paraId="66796C3F" w14:textId="65DF4990">
      <w:pPr>
        <w:jc w:val="both"/>
        <w:rPr>
          <w:rFonts w:ascii="Arial" w:hAnsi="Arial" w:eastAsia="Arial" w:cs="Arial"/>
          <w:b/>
          <w:bCs/>
          <w:color w:val="000000" w:themeColor="text1"/>
          <w:sz w:val="20"/>
          <w:szCs w:val="20"/>
        </w:rPr>
      </w:pPr>
      <w:r w:rsidRPr="1BD5C7BB">
        <w:rPr>
          <w:rFonts w:ascii="Arial" w:hAnsi="Arial" w:eastAsia="Arial" w:cs="Arial"/>
          <w:b/>
          <w:bCs/>
          <w:color w:val="000000" w:themeColor="text1"/>
          <w:sz w:val="20"/>
          <w:szCs w:val="20"/>
        </w:rPr>
        <w:t>Resources</w:t>
      </w:r>
    </w:p>
    <w:p w:rsidRPr="00427910" w:rsidR="0043074F" w:rsidP="1BD5C7BB" w:rsidRDefault="0043074F" w14:paraId="1DB3E14D" w14:textId="3CD02BA4">
      <w:pPr>
        <w:jc w:val="both"/>
        <w:rPr>
          <w:rFonts w:ascii="Arial" w:hAnsi="Arial" w:cs="Arial"/>
          <w:b/>
          <w:bCs/>
          <w:sz w:val="20"/>
          <w:szCs w:val="20"/>
        </w:rPr>
      </w:pPr>
      <w:r w:rsidRPr="1BD5C7BB">
        <w:rPr>
          <w:rFonts w:ascii="Arial" w:hAnsi="Arial" w:cs="Arial"/>
          <w:b/>
          <w:bCs/>
          <w:sz w:val="20"/>
          <w:szCs w:val="20"/>
        </w:rPr>
        <w:t xml:space="preserve">Searches </w:t>
      </w:r>
    </w:p>
    <w:p w:rsidR="00B8234E" w:rsidP="1BD5C7BB" w:rsidRDefault="2E4AEF1B" w14:paraId="41DB7EF6" w14:textId="21BCE2D0">
      <w:pPr>
        <w:rPr>
          <w:rFonts w:ascii="Arial" w:hAnsi="Arial" w:eastAsia="Arial" w:cs="Arial"/>
          <w:sz w:val="20"/>
          <w:szCs w:val="20"/>
        </w:rPr>
      </w:pPr>
      <w:r w:rsidRPr="1BD5C7BB">
        <w:rPr>
          <w:rFonts w:ascii="Arial" w:hAnsi="Arial" w:eastAsia="Arial" w:cs="Arial"/>
          <w:sz w:val="20"/>
          <w:szCs w:val="20"/>
        </w:rPr>
        <w:t xml:space="preserve">Video </w:t>
      </w:r>
      <w:r w:rsidR="00B8234E">
        <w:rPr>
          <w:rFonts w:ascii="Arial" w:hAnsi="Arial" w:eastAsia="Arial" w:cs="Arial"/>
          <w:sz w:val="20"/>
          <w:szCs w:val="20"/>
        </w:rPr>
        <w:t xml:space="preserve">detailing how to use searches </w:t>
      </w:r>
      <w:hyperlink w:history="1" r:id="rId13">
        <w:r w:rsidRPr="002511C1" w:rsidR="00B8234E">
          <w:rPr>
            <w:rStyle w:val="Hyperlink"/>
            <w:rFonts w:ascii="Arial" w:hAnsi="Arial" w:eastAsia="Arial" w:cs="Arial"/>
            <w:color w:val="0070C0"/>
            <w:sz w:val="20"/>
            <w:szCs w:val="20"/>
          </w:rPr>
          <w:t>https://nhsdorsetgp.sharepoint.com/sites/Medicines/Resources/Edoxaban%20resources/IIF%2022%2023%20Searches%20and%20R</w:t>
        </w:r>
        <w:r w:rsidRPr="002511C1" w:rsidR="00B8234E">
          <w:rPr>
            <w:rStyle w:val="Hyperlink"/>
            <w:rFonts w:ascii="Arial" w:hAnsi="Arial" w:eastAsia="Arial" w:cs="Arial"/>
            <w:color w:val="0070C0"/>
            <w:sz w:val="20"/>
            <w:szCs w:val="20"/>
          </w:rPr>
          <w:t>e</w:t>
        </w:r>
        <w:r w:rsidRPr="002511C1" w:rsidR="00B8234E">
          <w:rPr>
            <w:rStyle w:val="Hyperlink"/>
            <w:rFonts w:ascii="Arial" w:hAnsi="Arial" w:eastAsia="Arial" w:cs="Arial"/>
            <w:color w:val="0070C0"/>
            <w:sz w:val="20"/>
            <w:szCs w:val="20"/>
          </w:rPr>
          <w:t>calls%20Information%20Video.mp4?web=1</w:t>
        </w:r>
      </w:hyperlink>
    </w:p>
    <w:p w:rsidRPr="00B8234E" w:rsidR="2E4AEF1B" w:rsidP="1BD5C7BB" w:rsidRDefault="1BD5C7BB" w14:paraId="78741C01" w14:textId="7236F82B">
      <w:pPr>
        <w:rPr>
          <w:rFonts w:ascii="Arial" w:hAnsi="Arial" w:eastAsia="Arial" w:cs="Arial"/>
          <w:sz w:val="20"/>
          <w:szCs w:val="20"/>
        </w:rPr>
      </w:pPr>
      <w:r w:rsidRPr="00B8234E">
        <w:rPr>
          <w:rFonts w:ascii="Arial" w:hAnsi="Arial" w:eastAsia="Arial" w:cs="Arial"/>
          <w:color w:val="242424"/>
          <w:sz w:val="20"/>
          <w:szCs w:val="20"/>
        </w:rPr>
        <w:lastRenderedPageBreak/>
        <w:t>Video reference times:</w:t>
      </w:r>
    </w:p>
    <w:p w:rsidRPr="00B8234E" w:rsidR="2E4AEF1B" w:rsidP="1BD5C7BB" w:rsidRDefault="1BD5C7BB" w14:paraId="4E7FA743" w14:textId="1286B7AE">
      <w:pPr>
        <w:rPr>
          <w:rFonts w:ascii="Arial" w:hAnsi="Arial" w:eastAsia="Arial" w:cs="Arial"/>
          <w:color w:val="242424"/>
          <w:sz w:val="20"/>
          <w:szCs w:val="20"/>
        </w:rPr>
      </w:pPr>
      <w:r w:rsidRPr="00B8234E">
        <w:rPr>
          <w:rFonts w:ascii="Arial" w:hAnsi="Arial" w:eastAsia="Arial" w:cs="Arial"/>
          <w:color w:val="242424"/>
          <w:sz w:val="20"/>
          <w:szCs w:val="20"/>
        </w:rPr>
        <w:t>Introduction 0:00</w:t>
      </w:r>
    </w:p>
    <w:p w:rsidRPr="00B8234E" w:rsidR="2E4AEF1B" w:rsidP="1BD5C7BB" w:rsidRDefault="1BD5C7BB" w14:paraId="7120B5DF" w14:textId="511845BA">
      <w:pPr>
        <w:rPr>
          <w:rFonts w:ascii="Arial" w:hAnsi="Arial" w:eastAsia="Arial" w:cs="Arial"/>
          <w:color w:val="242424"/>
          <w:sz w:val="20"/>
          <w:szCs w:val="20"/>
        </w:rPr>
      </w:pPr>
      <w:r w:rsidRPr="00B8234E">
        <w:rPr>
          <w:rFonts w:ascii="Arial" w:hAnsi="Arial" w:eastAsia="Arial" w:cs="Arial"/>
          <w:color w:val="242424"/>
          <w:sz w:val="20"/>
          <w:szCs w:val="20"/>
        </w:rPr>
        <w:t>Seeing appropriate patients 4:14</w:t>
      </w:r>
    </w:p>
    <w:p w:rsidRPr="00B8234E" w:rsidR="2E4AEF1B" w:rsidP="1BD5C7BB" w:rsidRDefault="1BD5C7BB" w14:paraId="2806256C" w14:textId="2539F685">
      <w:pPr>
        <w:rPr>
          <w:rFonts w:ascii="Arial" w:hAnsi="Arial" w:eastAsia="Arial" w:cs="Arial"/>
          <w:color w:val="242424"/>
          <w:sz w:val="20"/>
          <w:szCs w:val="20"/>
        </w:rPr>
      </w:pPr>
      <w:r w:rsidRPr="00B8234E">
        <w:rPr>
          <w:rFonts w:ascii="Arial" w:hAnsi="Arial" w:eastAsia="Arial" w:cs="Arial"/>
          <w:color w:val="242424"/>
          <w:sz w:val="20"/>
          <w:szCs w:val="20"/>
        </w:rPr>
        <w:t>Recall Coding 12:34</w:t>
      </w:r>
    </w:p>
    <w:p w:rsidRPr="00B8234E" w:rsidR="2E4AEF1B" w:rsidP="1BD5C7BB" w:rsidRDefault="1BD5C7BB" w14:paraId="727B240C" w14:textId="2EFCF779">
      <w:pPr>
        <w:rPr>
          <w:rFonts w:ascii="Arial" w:hAnsi="Arial" w:eastAsia="Arial" w:cs="Arial"/>
          <w:color w:val="242424"/>
          <w:sz w:val="20"/>
          <w:szCs w:val="20"/>
        </w:rPr>
      </w:pPr>
      <w:r w:rsidRPr="00B8234E">
        <w:rPr>
          <w:rFonts w:ascii="Arial" w:hAnsi="Arial" w:eastAsia="Arial" w:cs="Arial"/>
          <w:color w:val="242424"/>
          <w:sz w:val="20"/>
          <w:szCs w:val="20"/>
        </w:rPr>
        <w:t>Search construction 14:39</w:t>
      </w:r>
    </w:p>
    <w:p w:rsidRPr="00B8234E" w:rsidR="2E4AEF1B" w:rsidP="1BD5C7BB" w:rsidRDefault="1BD5C7BB" w14:paraId="571B97EA" w14:textId="3908B41C">
      <w:pPr>
        <w:rPr>
          <w:rFonts w:ascii="Arial" w:hAnsi="Arial" w:eastAsia="Arial" w:cs="Arial"/>
          <w:color w:val="242424"/>
          <w:sz w:val="20"/>
          <w:szCs w:val="20"/>
        </w:rPr>
      </w:pPr>
      <w:r w:rsidRPr="00B8234E">
        <w:rPr>
          <w:rFonts w:ascii="Arial" w:hAnsi="Arial" w:eastAsia="Arial" w:cs="Arial"/>
          <w:color w:val="242424"/>
          <w:sz w:val="20"/>
          <w:szCs w:val="20"/>
        </w:rPr>
        <w:t xml:space="preserve">Searches in </w:t>
      </w:r>
      <w:proofErr w:type="spellStart"/>
      <w:r w:rsidRPr="00B8234E">
        <w:rPr>
          <w:rFonts w:ascii="Arial" w:hAnsi="Arial" w:eastAsia="Arial" w:cs="Arial"/>
          <w:color w:val="242424"/>
          <w:sz w:val="20"/>
          <w:szCs w:val="20"/>
        </w:rPr>
        <w:t>SystmOne</w:t>
      </w:r>
      <w:proofErr w:type="spellEnd"/>
      <w:r w:rsidRPr="00B8234E">
        <w:rPr>
          <w:rFonts w:ascii="Arial" w:hAnsi="Arial" w:eastAsia="Arial" w:cs="Arial"/>
          <w:color w:val="242424"/>
          <w:sz w:val="20"/>
          <w:szCs w:val="20"/>
        </w:rPr>
        <w:t xml:space="preserve"> 17:00</w:t>
      </w:r>
    </w:p>
    <w:p w:rsidRPr="00B8234E" w:rsidR="2E4AEF1B" w:rsidP="1BD5C7BB" w:rsidRDefault="1BD5C7BB" w14:paraId="6AC7CFAD" w14:textId="1EA83A6E">
      <w:pPr>
        <w:rPr>
          <w:rFonts w:ascii="Arial" w:hAnsi="Arial" w:eastAsia="Arial" w:cs="Arial"/>
          <w:color w:val="242424"/>
          <w:sz w:val="20"/>
          <w:szCs w:val="20"/>
        </w:rPr>
      </w:pPr>
      <w:r w:rsidRPr="00B8234E">
        <w:rPr>
          <w:rFonts w:ascii="Arial" w:hAnsi="Arial" w:eastAsia="Arial" w:cs="Arial"/>
          <w:color w:val="242424"/>
          <w:sz w:val="20"/>
          <w:szCs w:val="20"/>
        </w:rPr>
        <w:t>Batch reports 30:36</w:t>
      </w:r>
    </w:p>
    <w:p w:rsidRPr="00B8234E" w:rsidR="2E4AEF1B" w:rsidP="1BD5C7BB" w:rsidRDefault="1BD5C7BB" w14:paraId="772F0E09" w14:textId="7357AB72">
      <w:pPr>
        <w:rPr>
          <w:rFonts w:ascii="Arial" w:hAnsi="Arial" w:eastAsia="Arial" w:cs="Arial"/>
          <w:color w:val="242424"/>
          <w:sz w:val="20"/>
          <w:szCs w:val="20"/>
        </w:rPr>
      </w:pPr>
      <w:r w:rsidRPr="00B8234E">
        <w:rPr>
          <w:rFonts w:ascii="Arial" w:hAnsi="Arial" w:eastAsia="Arial" w:cs="Arial"/>
          <w:color w:val="242424"/>
          <w:sz w:val="20"/>
          <w:szCs w:val="20"/>
        </w:rPr>
        <w:t>Using configured outputs 34:15</w:t>
      </w:r>
    </w:p>
    <w:p w:rsidR="2E4AEF1B" w:rsidP="2E4AEF1B" w:rsidRDefault="2E4AEF1B" w14:paraId="5FC0FF1F" w14:textId="39857942">
      <w:pPr>
        <w:rPr>
          <w:rFonts w:ascii="Arial" w:hAnsi="Arial" w:cs="Arial"/>
          <w:sz w:val="20"/>
          <w:szCs w:val="20"/>
        </w:rPr>
      </w:pPr>
      <w:r w:rsidRPr="1BD5C7BB">
        <w:rPr>
          <w:rFonts w:ascii="Arial" w:hAnsi="Arial" w:cs="Arial"/>
          <w:sz w:val="20"/>
          <w:szCs w:val="20"/>
        </w:rPr>
        <w:t>Each search will pick up whether patients have been seen since 1 April from multiple indicators categories from SMR-01 and SMR-02 indicator groups</w:t>
      </w:r>
    </w:p>
    <w:p w:rsidR="2E4AEF1B" w:rsidP="2E4AEF1B" w:rsidRDefault="2E4AEF1B" w14:paraId="3A70832F" w14:textId="7531791D">
      <w:pPr>
        <w:rPr>
          <w:rFonts w:ascii="Arial" w:hAnsi="Arial" w:cs="Arial"/>
          <w:sz w:val="20"/>
          <w:szCs w:val="20"/>
        </w:rPr>
      </w:pPr>
      <w:r w:rsidRPr="1BD5C7BB">
        <w:rPr>
          <w:rFonts w:ascii="Arial" w:hAnsi="Arial" w:cs="Arial"/>
          <w:sz w:val="20"/>
          <w:szCs w:val="20"/>
        </w:rPr>
        <w:t>Each search category enables a PCN to choose how to prioritise their recalls dependent on workforce and strategy as described in Table 2</w:t>
      </w:r>
    </w:p>
    <w:p w:rsidR="2E4AEF1B" w:rsidP="2846C5D6" w:rsidRDefault="2E4AEF1B" w14:paraId="6C37EC2C" w14:textId="7835216C" w14:noSpellErr="1">
      <w:pPr>
        <w:rPr>
          <w:rFonts w:ascii="Arial" w:hAnsi="Arial" w:eastAsia="Arial" w:cs="Arial"/>
          <w:b w:val="1"/>
          <w:bCs w:val="1"/>
          <w:sz w:val="20"/>
          <w:szCs w:val="20"/>
        </w:rPr>
      </w:pPr>
      <w:r w:rsidRPr="2846C5D6" w:rsidR="3ADCA94B">
        <w:rPr>
          <w:rFonts w:ascii="Arial" w:hAnsi="Arial" w:eastAsia="Arial" w:cs="Arial"/>
          <w:b w:val="1"/>
          <w:bCs w:val="1"/>
          <w:sz w:val="20"/>
          <w:szCs w:val="20"/>
        </w:rPr>
        <w:t>Table 1 Summary of recall list options in searches</w:t>
      </w:r>
    </w:p>
    <w:tbl>
      <w:tblPr>
        <w:tblStyle w:val="TableGrid"/>
        <w:tblW w:w="0" w:type="auto"/>
        <w:tblLayout w:type="fixed"/>
        <w:tblLook w:val="06A0" w:firstRow="1" w:lastRow="0" w:firstColumn="1" w:lastColumn="0" w:noHBand="1" w:noVBand="1"/>
      </w:tblPr>
      <w:tblGrid>
        <w:gridCol w:w="5850"/>
        <w:gridCol w:w="3165"/>
      </w:tblGrid>
      <w:tr w:rsidR="2E4AEF1B" w:rsidTr="2846C5D6" w14:paraId="228B5432" w14:textId="77777777">
        <w:trPr>
          <w:trHeight w:val="300"/>
        </w:trPr>
        <w:tc>
          <w:tcPr>
            <w:tcW w:w="5850" w:type="dxa"/>
            <w:tcMar/>
          </w:tcPr>
          <w:p w:rsidR="2E4AEF1B" w:rsidP="2846C5D6" w:rsidRDefault="2E4AEF1B" w14:paraId="4BDF29DD" w14:textId="02BE5032" w14:noSpellErr="1">
            <w:pPr>
              <w:rPr>
                <w:rFonts w:ascii="Arial" w:hAnsi="Arial" w:eastAsia="Arial" w:cs="Arial"/>
                <w:b w:val="1"/>
                <w:bCs w:val="1"/>
                <w:color w:val="000000" w:themeColor="text1"/>
                <w:sz w:val="20"/>
                <w:szCs w:val="20"/>
              </w:rPr>
            </w:pPr>
            <w:r w:rsidRPr="2846C5D6" w:rsidR="3ADCA94B">
              <w:rPr>
                <w:rFonts w:ascii="Arial" w:hAnsi="Arial" w:eastAsia="Arial" w:cs="Arial"/>
                <w:b w:val="1"/>
                <w:bCs w:val="1"/>
                <w:color w:val="000000" w:themeColor="text1" w:themeTint="FF" w:themeShade="FF"/>
                <w:sz w:val="20"/>
                <w:szCs w:val="20"/>
              </w:rPr>
              <w:t>Priority Search Groups and Descriptors</w:t>
            </w:r>
          </w:p>
        </w:tc>
        <w:tc>
          <w:tcPr>
            <w:tcW w:w="3165" w:type="dxa"/>
            <w:tcMar/>
          </w:tcPr>
          <w:p w:rsidR="2E4AEF1B" w:rsidP="2846C5D6" w:rsidRDefault="2E4AEF1B" w14:paraId="2CC0BDFB" w14:textId="464AC48D" w14:noSpellErr="1">
            <w:pPr>
              <w:rPr>
                <w:rFonts w:ascii="Arial" w:hAnsi="Arial" w:eastAsia="Arial" w:cs="Arial"/>
                <w:b w:val="1"/>
                <w:bCs w:val="1"/>
                <w:color w:val="000000" w:themeColor="text1"/>
                <w:sz w:val="20"/>
                <w:szCs w:val="20"/>
              </w:rPr>
            </w:pPr>
            <w:r w:rsidRPr="2846C5D6" w:rsidR="3ADCA94B">
              <w:rPr>
                <w:rFonts w:ascii="Arial" w:hAnsi="Arial" w:eastAsia="Arial" w:cs="Arial"/>
                <w:b w:val="1"/>
                <w:bCs w:val="1"/>
                <w:color w:val="000000" w:themeColor="text1" w:themeTint="FF" w:themeShade="FF"/>
                <w:sz w:val="20"/>
                <w:szCs w:val="20"/>
              </w:rPr>
              <w:t>Explanation</w:t>
            </w:r>
          </w:p>
        </w:tc>
      </w:tr>
      <w:tr w:rsidR="2E4AEF1B" w:rsidTr="2846C5D6" w14:paraId="22779F26" w14:textId="77777777">
        <w:trPr>
          <w:trHeight w:val="300"/>
        </w:trPr>
        <w:tc>
          <w:tcPr>
            <w:tcW w:w="5850" w:type="dxa"/>
            <w:tcMar/>
          </w:tcPr>
          <w:p w:rsidR="2E4AEF1B" w:rsidP="2846C5D6" w:rsidRDefault="2E4AEF1B" w14:paraId="6737DDFE" w14:textId="2A9F1026" w14:noSpellErr="1">
            <w:pPr>
              <w:rPr>
                <w:rFonts w:ascii="Arial" w:hAnsi="Arial" w:eastAsia="Arial" w:cs="Arial"/>
                <w:b w:val="1"/>
                <w:bCs w:val="1"/>
                <w:color w:val="000000" w:themeColor="text1"/>
                <w:sz w:val="20"/>
                <w:szCs w:val="20"/>
              </w:rPr>
            </w:pPr>
            <w:r w:rsidRPr="2846C5D6" w:rsidR="3ADCA94B">
              <w:rPr>
                <w:rFonts w:ascii="Arial" w:hAnsi="Arial" w:eastAsia="Arial" w:cs="Arial"/>
                <w:b w:val="1"/>
                <w:bCs w:val="1"/>
                <w:color w:val="000000" w:themeColor="text1" w:themeTint="FF" w:themeShade="FF"/>
                <w:sz w:val="20"/>
                <w:szCs w:val="20"/>
              </w:rPr>
              <w:t xml:space="preserve">IIF 22 23 </w:t>
            </w:r>
            <w:r w:rsidRPr="2846C5D6" w:rsidR="3ADCA94B">
              <w:rPr>
                <w:rFonts w:ascii="Arial" w:hAnsi="Arial" w:eastAsia="Arial" w:cs="Arial"/>
                <w:b w:val="1"/>
                <w:bCs w:val="1"/>
                <w:color w:val="000000" w:themeColor="text1" w:themeTint="FF" w:themeShade="FF"/>
                <w:sz w:val="20"/>
                <w:szCs w:val="20"/>
              </w:rPr>
              <w:t>SMR</w:t>
            </w:r>
            <w:r w:rsidRPr="2846C5D6" w:rsidR="3ADCA94B">
              <w:rPr>
                <w:rFonts w:ascii="Arial" w:hAnsi="Arial" w:eastAsia="Arial" w:cs="Arial"/>
                <w:b w:val="1"/>
                <w:bCs w:val="1"/>
                <w:color w:val="000000" w:themeColor="text1" w:themeTint="FF" w:themeShade="FF"/>
                <w:sz w:val="20"/>
                <w:szCs w:val="20"/>
              </w:rPr>
              <w:t xml:space="preserve"> recall invites</w:t>
            </w:r>
          </w:p>
        </w:tc>
        <w:tc>
          <w:tcPr>
            <w:tcW w:w="3165" w:type="dxa"/>
            <w:vMerge w:val="restart"/>
            <w:tcMar/>
          </w:tcPr>
          <w:p w:rsidR="2E4AEF1B" w:rsidP="2846C5D6" w:rsidRDefault="2E4AEF1B" w14:paraId="768EE7A9" w14:textId="4B04D37A" w14:noSpellErr="1">
            <w:pPr>
              <w:rPr>
                <w:rFonts w:ascii="Arial" w:hAnsi="Arial" w:eastAsia="Arial" w:cs="Arial"/>
                <w:b w:val="1"/>
                <w:bCs w:val="1"/>
                <w:color w:val="000000" w:themeColor="text1"/>
                <w:sz w:val="20"/>
                <w:szCs w:val="20"/>
              </w:rPr>
            </w:pPr>
            <w:r w:rsidRPr="2846C5D6" w:rsidR="3ADCA94B">
              <w:rPr>
                <w:rFonts w:ascii="Arial" w:hAnsi="Arial" w:eastAsia="Arial" w:cs="Arial"/>
                <w:b w:val="1"/>
                <w:bCs w:val="1"/>
                <w:color w:val="000000" w:themeColor="text1" w:themeTint="FF" w:themeShade="FF"/>
                <w:sz w:val="20"/>
                <w:szCs w:val="20"/>
              </w:rPr>
              <w:t>Only patients outlined in SMR-01 and SMR-02</w:t>
            </w:r>
          </w:p>
        </w:tc>
      </w:tr>
      <w:tr w:rsidR="2E4AEF1B" w:rsidTr="2846C5D6" w14:paraId="1B1BEDEF" w14:textId="77777777">
        <w:trPr>
          <w:trHeight w:val="300"/>
        </w:trPr>
        <w:tc>
          <w:tcPr>
            <w:tcW w:w="5850" w:type="dxa"/>
            <w:tcMar/>
          </w:tcPr>
          <w:p w:rsidR="2E4AEF1B" w:rsidP="2846C5D6" w:rsidRDefault="2E4AEF1B" w14:paraId="7187D0EB" w14:textId="225ABC39" w14:noSpellErr="1">
            <w:pPr>
              <w:rPr>
                <w:rFonts w:ascii="Arial" w:hAnsi="Arial" w:eastAsia="Arial" w:cs="Arial"/>
                <w:color w:val="000000" w:themeColor="text1" w:themeTint="FF" w:themeShade="FF"/>
                <w:sz w:val="20"/>
                <w:szCs w:val="20"/>
              </w:rPr>
            </w:pPr>
            <w:r w:rsidRPr="2846C5D6" w:rsidR="3ADCA94B">
              <w:rPr>
                <w:rFonts w:ascii="Arial" w:hAnsi="Arial" w:eastAsia="Arial" w:cs="Arial"/>
                <w:color w:val="000000" w:themeColor="text1" w:themeTint="FF" w:themeShade="FF"/>
                <w:sz w:val="20"/>
                <w:szCs w:val="20"/>
              </w:rPr>
              <w:t>Recall 1st invite for SMR IIF populations - no SMR in last 12m. No invite since 1 Apr</w:t>
            </w:r>
          </w:p>
        </w:tc>
        <w:tc>
          <w:tcPr>
            <w:tcW w:w="3165" w:type="dxa"/>
            <w:vMerge/>
            <w:tcMar/>
          </w:tcPr>
          <w:p w:rsidR="00D37FFD" w:rsidRDefault="00D37FFD" w14:paraId="7C18A0C4" w14:textId="77777777"/>
        </w:tc>
      </w:tr>
      <w:tr w:rsidR="2E4AEF1B" w:rsidTr="2846C5D6" w14:paraId="0773D0A5" w14:textId="77777777">
        <w:trPr>
          <w:trHeight w:val="300"/>
        </w:trPr>
        <w:tc>
          <w:tcPr>
            <w:tcW w:w="5850" w:type="dxa"/>
            <w:tcMar/>
          </w:tcPr>
          <w:p w:rsidR="2E4AEF1B" w:rsidP="2846C5D6" w:rsidRDefault="2E4AEF1B" w14:paraId="488A76E7" w14:textId="65783211" w14:noSpellErr="1">
            <w:pPr>
              <w:rPr>
                <w:rFonts w:ascii="Arial" w:hAnsi="Arial" w:eastAsia="Arial" w:cs="Arial"/>
                <w:color w:val="000000" w:themeColor="text1" w:themeTint="FF" w:themeShade="FF"/>
                <w:sz w:val="20"/>
                <w:szCs w:val="20"/>
              </w:rPr>
            </w:pPr>
            <w:r w:rsidRPr="2846C5D6" w:rsidR="3ADCA94B">
              <w:rPr>
                <w:rFonts w:ascii="Arial" w:hAnsi="Arial" w:eastAsia="Arial" w:cs="Arial"/>
                <w:color w:val="000000" w:themeColor="text1" w:themeTint="FF" w:themeShade="FF"/>
                <w:sz w:val="20"/>
                <w:szCs w:val="20"/>
              </w:rPr>
              <w:t>Recall 2nd invite to SMR IIF populations - no SMR last 12m. 1 invite since 1 Apr</w:t>
            </w:r>
          </w:p>
        </w:tc>
        <w:tc>
          <w:tcPr>
            <w:tcW w:w="3165" w:type="dxa"/>
            <w:vMerge/>
            <w:tcMar/>
          </w:tcPr>
          <w:p w:rsidR="00D37FFD" w:rsidRDefault="00D37FFD" w14:paraId="3C4CE293" w14:textId="77777777"/>
        </w:tc>
      </w:tr>
      <w:tr w:rsidR="2E4AEF1B" w:rsidTr="2846C5D6" w14:paraId="627DC15D" w14:textId="77777777">
        <w:trPr>
          <w:trHeight w:val="300"/>
        </w:trPr>
        <w:tc>
          <w:tcPr>
            <w:tcW w:w="5850" w:type="dxa"/>
            <w:tcMar/>
          </w:tcPr>
          <w:p w:rsidR="2E4AEF1B" w:rsidP="2846C5D6" w:rsidRDefault="2E4AEF1B" w14:paraId="0073CA0A" w14:textId="0A41DA95" w14:noSpellErr="1">
            <w:pPr>
              <w:rPr>
                <w:rFonts w:ascii="Arial" w:hAnsi="Arial" w:eastAsia="Arial" w:cs="Arial"/>
                <w:b w:val="1"/>
                <w:bCs w:val="1"/>
                <w:color w:val="000000" w:themeColor="text1"/>
                <w:sz w:val="20"/>
                <w:szCs w:val="20"/>
              </w:rPr>
            </w:pPr>
            <w:r w:rsidRPr="2846C5D6" w:rsidR="3ADCA94B">
              <w:rPr>
                <w:rFonts w:ascii="Arial" w:hAnsi="Arial" w:eastAsia="Arial" w:cs="Arial"/>
                <w:b w:val="1"/>
                <w:bCs w:val="1"/>
                <w:color w:val="000000" w:themeColor="text1" w:themeTint="FF" w:themeShade="FF"/>
                <w:sz w:val="20"/>
                <w:szCs w:val="20"/>
              </w:rPr>
              <w:t>IIF 22 23 SMR and 10 plus medications recall invites</w:t>
            </w:r>
          </w:p>
        </w:tc>
        <w:tc>
          <w:tcPr>
            <w:tcW w:w="3165" w:type="dxa"/>
            <w:vMerge w:val="restart"/>
            <w:tcMar/>
          </w:tcPr>
          <w:p w:rsidR="2E4AEF1B" w:rsidP="2846C5D6" w:rsidRDefault="2E4AEF1B" w14:paraId="519FA65C" w14:textId="2321484F" w14:noSpellErr="1">
            <w:pPr>
              <w:rPr>
                <w:rFonts w:ascii="Arial" w:hAnsi="Arial" w:eastAsia="Arial" w:cs="Arial"/>
                <w:b w:val="1"/>
                <w:bCs w:val="1"/>
                <w:color w:val="000000" w:themeColor="text1"/>
                <w:sz w:val="20"/>
                <w:szCs w:val="20"/>
              </w:rPr>
            </w:pPr>
            <w:r w:rsidRPr="2846C5D6" w:rsidR="3ADCA94B">
              <w:rPr>
                <w:rFonts w:ascii="Arial" w:hAnsi="Arial" w:eastAsia="Arial" w:cs="Arial"/>
                <w:b w:val="1"/>
                <w:bCs w:val="1"/>
                <w:color w:val="000000" w:themeColor="text1" w:themeTint="FF" w:themeShade="FF"/>
                <w:sz w:val="20"/>
                <w:szCs w:val="20"/>
              </w:rPr>
              <w:t xml:space="preserve">Patients in SMR-01 &amp; SMR-02 and who also have 10 plus repeat medication templates of relevant medication to polypharmacy burden (not including appliances) </w:t>
            </w:r>
          </w:p>
        </w:tc>
      </w:tr>
      <w:tr w:rsidR="2E4AEF1B" w:rsidTr="2846C5D6" w14:paraId="1A7847E2" w14:textId="77777777">
        <w:trPr>
          <w:trHeight w:val="300"/>
        </w:trPr>
        <w:tc>
          <w:tcPr>
            <w:tcW w:w="5850" w:type="dxa"/>
            <w:tcMar/>
          </w:tcPr>
          <w:p w:rsidR="2E4AEF1B" w:rsidP="2846C5D6" w:rsidRDefault="2E4AEF1B" w14:paraId="7807A9E8" w14:textId="47DE9289" w14:noSpellErr="1">
            <w:pPr>
              <w:rPr>
                <w:rFonts w:ascii="Arial" w:hAnsi="Arial" w:eastAsia="Arial" w:cs="Arial"/>
                <w:color w:val="000000" w:themeColor="text1" w:themeTint="FF" w:themeShade="FF"/>
                <w:sz w:val="20"/>
                <w:szCs w:val="20"/>
              </w:rPr>
            </w:pPr>
            <w:r w:rsidRPr="2846C5D6" w:rsidR="3ADCA94B">
              <w:rPr>
                <w:rFonts w:ascii="Arial" w:hAnsi="Arial" w:eastAsia="Arial" w:cs="Arial"/>
                <w:color w:val="000000" w:themeColor="text1" w:themeTint="FF" w:themeShade="FF"/>
                <w:sz w:val="20"/>
                <w:szCs w:val="20"/>
              </w:rPr>
              <w:t>Recall 1st invite for SMR total at risk populations - no SMR in last 12m. No invite since 1 Apr</w:t>
            </w:r>
          </w:p>
        </w:tc>
        <w:tc>
          <w:tcPr>
            <w:tcW w:w="3165" w:type="dxa"/>
            <w:vMerge/>
            <w:tcMar/>
          </w:tcPr>
          <w:p w:rsidR="00D37FFD" w:rsidRDefault="00D37FFD" w14:paraId="2CDB25D4" w14:textId="77777777"/>
        </w:tc>
      </w:tr>
      <w:tr w:rsidR="2E4AEF1B" w:rsidTr="2846C5D6" w14:paraId="12E3DC01" w14:textId="77777777">
        <w:trPr>
          <w:trHeight w:val="300"/>
        </w:trPr>
        <w:tc>
          <w:tcPr>
            <w:tcW w:w="5850" w:type="dxa"/>
            <w:tcMar/>
          </w:tcPr>
          <w:p w:rsidR="2E4AEF1B" w:rsidP="2846C5D6" w:rsidRDefault="2E4AEF1B" w14:paraId="1C4861DC" w14:textId="37082785" w14:noSpellErr="1">
            <w:pPr>
              <w:rPr>
                <w:rFonts w:ascii="Arial" w:hAnsi="Arial" w:eastAsia="Arial" w:cs="Arial"/>
                <w:color w:val="000000" w:themeColor="text1" w:themeTint="FF" w:themeShade="FF"/>
                <w:sz w:val="20"/>
                <w:szCs w:val="20"/>
              </w:rPr>
            </w:pPr>
            <w:r w:rsidRPr="2846C5D6" w:rsidR="3ADCA94B">
              <w:rPr>
                <w:rFonts w:ascii="Arial" w:hAnsi="Arial" w:eastAsia="Arial" w:cs="Arial"/>
                <w:color w:val="000000" w:themeColor="text1" w:themeTint="FF" w:themeShade="FF"/>
                <w:sz w:val="20"/>
                <w:szCs w:val="20"/>
              </w:rPr>
              <w:t>Recall 2nd invite to SMR total at risk populations - no SMR last 12m. 1 invite since 1 Apr</w:t>
            </w:r>
          </w:p>
        </w:tc>
        <w:tc>
          <w:tcPr>
            <w:tcW w:w="3165" w:type="dxa"/>
            <w:vMerge/>
            <w:tcMar/>
          </w:tcPr>
          <w:p w:rsidR="00D37FFD" w:rsidRDefault="00D37FFD" w14:paraId="17611AD6" w14:textId="77777777"/>
        </w:tc>
      </w:tr>
      <w:tr w:rsidR="2E4AEF1B" w:rsidTr="2846C5D6" w14:paraId="6BC390F7" w14:textId="77777777">
        <w:trPr>
          <w:trHeight w:val="300"/>
        </w:trPr>
        <w:tc>
          <w:tcPr>
            <w:tcW w:w="5850" w:type="dxa"/>
            <w:tcMar/>
          </w:tcPr>
          <w:p w:rsidR="2E4AEF1B" w:rsidP="2846C5D6" w:rsidRDefault="2E4AEF1B" w14:paraId="5DD96A97" w14:textId="128A14D8" w14:noSpellErr="1">
            <w:pPr>
              <w:rPr>
                <w:rFonts w:ascii="Arial" w:hAnsi="Arial" w:eastAsia="Arial" w:cs="Arial"/>
                <w:b w:val="1"/>
                <w:bCs w:val="1"/>
                <w:color w:val="000000" w:themeColor="text1"/>
                <w:sz w:val="20"/>
                <w:szCs w:val="20"/>
              </w:rPr>
            </w:pPr>
            <w:r w:rsidRPr="2846C5D6" w:rsidR="3ADCA94B">
              <w:rPr>
                <w:rFonts w:ascii="Arial" w:hAnsi="Arial" w:eastAsia="Arial" w:cs="Arial"/>
                <w:b w:val="1"/>
                <w:bCs w:val="1"/>
                <w:color w:val="000000" w:themeColor="text1" w:themeTint="FF" w:themeShade="FF"/>
                <w:sz w:val="20"/>
                <w:szCs w:val="20"/>
              </w:rPr>
              <w:t>IIF 22 23 SMR and DOAC assessment recall invites</w:t>
            </w:r>
          </w:p>
        </w:tc>
        <w:tc>
          <w:tcPr>
            <w:tcW w:w="3165" w:type="dxa"/>
            <w:vMerge w:val="restart"/>
            <w:tcMar/>
          </w:tcPr>
          <w:p w:rsidR="2E4AEF1B" w:rsidP="2846C5D6" w:rsidRDefault="2E4AEF1B" w14:paraId="40CE6A06" w14:textId="1347CE76">
            <w:pPr>
              <w:rPr>
                <w:rFonts w:ascii="Arial" w:hAnsi="Arial" w:eastAsia="Arial" w:cs="Arial"/>
                <w:b w:val="1"/>
                <w:bCs w:val="1"/>
                <w:color w:val="000000" w:themeColor="text1"/>
                <w:sz w:val="20"/>
                <w:szCs w:val="20"/>
              </w:rPr>
            </w:pPr>
            <w:r w:rsidRPr="2846C5D6" w:rsidR="3ADCA94B">
              <w:rPr>
                <w:rFonts w:ascii="Arial" w:hAnsi="Arial" w:eastAsia="Arial" w:cs="Arial"/>
                <w:b w:val="1"/>
                <w:bCs w:val="1"/>
                <w:color w:val="000000" w:themeColor="text1" w:themeTint="FF" w:themeShade="FF"/>
                <w:sz w:val="20"/>
                <w:szCs w:val="20"/>
              </w:rPr>
              <w:t xml:space="preserve">Patients in SMR-01 &amp; SMR-02 and who also are not prescribed </w:t>
            </w:r>
            <w:r w:rsidRPr="2846C5D6" w:rsidR="3ADCA94B">
              <w:rPr>
                <w:rFonts w:ascii="Arial" w:hAnsi="Arial" w:eastAsia="Arial" w:cs="Arial"/>
                <w:b w:val="1"/>
                <w:bCs w:val="1"/>
                <w:color w:val="000000" w:themeColor="text1" w:themeTint="FF" w:themeShade="FF"/>
                <w:sz w:val="20"/>
                <w:szCs w:val="20"/>
              </w:rPr>
              <w:t>Edoxaban</w:t>
            </w:r>
            <w:r w:rsidRPr="2846C5D6" w:rsidR="3ADCA94B">
              <w:rPr>
                <w:rFonts w:ascii="Arial" w:hAnsi="Arial" w:eastAsia="Arial" w:cs="Arial"/>
                <w:b w:val="1"/>
                <w:bCs w:val="1"/>
                <w:color w:val="000000" w:themeColor="text1" w:themeTint="FF" w:themeShade="FF"/>
                <w:sz w:val="20"/>
                <w:szCs w:val="20"/>
              </w:rPr>
              <w:t xml:space="preserve"> in AF</w:t>
            </w:r>
          </w:p>
          <w:p w:rsidR="2E4AEF1B" w:rsidP="2846C5D6" w:rsidRDefault="2E4AEF1B" w14:paraId="63FC7176" w14:textId="7A934165" w14:noSpellErr="1">
            <w:pPr>
              <w:rPr>
                <w:rFonts w:ascii="Arial" w:hAnsi="Arial" w:eastAsia="Arial" w:cs="Arial"/>
                <w:b w:val="1"/>
                <w:bCs w:val="1"/>
                <w:color w:val="000000" w:themeColor="text1"/>
                <w:sz w:val="20"/>
                <w:szCs w:val="20"/>
              </w:rPr>
            </w:pPr>
          </w:p>
        </w:tc>
      </w:tr>
      <w:tr w:rsidR="2E4AEF1B" w:rsidTr="2846C5D6" w14:paraId="5CA75FA9" w14:textId="77777777">
        <w:trPr>
          <w:trHeight w:val="300"/>
        </w:trPr>
        <w:tc>
          <w:tcPr>
            <w:tcW w:w="5850" w:type="dxa"/>
            <w:tcMar/>
          </w:tcPr>
          <w:p w:rsidR="2E4AEF1B" w:rsidP="2846C5D6" w:rsidRDefault="2E4AEF1B" w14:paraId="340193D4" w14:textId="0B2EEE1D">
            <w:pPr>
              <w:rPr>
                <w:rFonts w:ascii="Arial" w:hAnsi="Arial" w:eastAsia="Arial" w:cs="Arial"/>
                <w:color w:val="000000" w:themeColor="text1" w:themeTint="FF" w:themeShade="FF"/>
                <w:sz w:val="20"/>
                <w:szCs w:val="20"/>
              </w:rPr>
            </w:pPr>
            <w:r w:rsidRPr="2846C5D6" w:rsidR="3ADCA94B">
              <w:rPr>
                <w:rFonts w:ascii="Arial" w:hAnsi="Arial" w:eastAsia="Arial" w:cs="Arial"/>
                <w:color w:val="000000" w:themeColor="text1" w:themeTint="FF" w:themeShade="FF"/>
                <w:sz w:val="20"/>
                <w:szCs w:val="20"/>
              </w:rPr>
              <w:t xml:space="preserve">All f2f Recall 1st invite for SMR IIF population - no SMR in last 12m. No invite since 1 Apr taking DOAC </w:t>
            </w:r>
            <w:r w:rsidRPr="2846C5D6" w:rsidR="3ADCA94B">
              <w:rPr>
                <w:rFonts w:ascii="Arial" w:hAnsi="Arial" w:eastAsia="Arial" w:cs="Arial"/>
                <w:color w:val="000000" w:themeColor="text1" w:themeTint="FF" w:themeShade="FF"/>
                <w:sz w:val="20"/>
                <w:szCs w:val="20"/>
              </w:rPr>
              <w:t>excl</w:t>
            </w:r>
            <w:r w:rsidRPr="2846C5D6" w:rsidR="3ADCA94B">
              <w:rPr>
                <w:rFonts w:ascii="Arial" w:hAnsi="Arial" w:eastAsia="Arial" w:cs="Arial"/>
                <w:color w:val="000000" w:themeColor="text1" w:themeTint="FF" w:themeShade="FF"/>
                <w:sz w:val="20"/>
                <w:szCs w:val="20"/>
              </w:rPr>
              <w:t xml:space="preserve"> </w:t>
            </w:r>
            <w:r w:rsidRPr="2846C5D6" w:rsidR="3ADCA94B">
              <w:rPr>
                <w:rFonts w:ascii="Arial" w:hAnsi="Arial" w:eastAsia="Arial" w:cs="Arial"/>
                <w:color w:val="000000" w:themeColor="text1" w:themeTint="FF" w:themeShade="FF"/>
                <w:sz w:val="20"/>
                <w:szCs w:val="20"/>
              </w:rPr>
              <w:t>Edoxaban</w:t>
            </w:r>
            <w:r w:rsidRPr="2846C5D6" w:rsidR="3ADCA94B">
              <w:rPr>
                <w:rFonts w:ascii="Arial" w:hAnsi="Arial" w:eastAsia="Arial" w:cs="Arial"/>
                <w:color w:val="000000" w:themeColor="text1" w:themeTint="FF" w:themeShade="FF"/>
                <w:sz w:val="20"/>
                <w:szCs w:val="20"/>
              </w:rPr>
              <w:t xml:space="preserve"> with AF</w:t>
            </w:r>
          </w:p>
        </w:tc>
        <w:tc>
          <w:tcPr>
            <w:tcW w:w="3165" w:type="dxa"/>
            <w:vMerge/>
            <w:tcMar/>
          </w:tcPr>
          <w:p w:rsidR="00D37FFD" w:rsidRDefault="00D37FFD" w14:paraId="08C6607A" w14:textId="77777777"/>
        </w:tc>
      </w:tr>
      <w:tr w:rsidR="2E4AEF1B" w:rsidTr="2846C5D6" w14:paraId="43A415B7" w14:textId="77777777">
        <w:trPr>
          <w:trHeight w:val="300"/>
        </w:trPr>
        <w:tc>
          <w:tcPr>
            <w:tcW w:w="5850" w:type="dxa"/>
            <w:tcMar/>
          </w:tcPr>
          <w:p w:rsidR="2E4AEF1B" w:rsidP="2846C5D6" w:rsidRDefault="2E4AEF1B" w14:paraId="2D6C5E7E" w14:textId="657B274F">
            <w:pPr>
              <w:rPr>
                <w:rFonts w:ascii="Arial" w:hAnsi="Arial" w:eastAsia="Arial" w:cs="Arial"/>
                <w:color w:val="000000" w:themeColor="text1" w:themeTint="FF" w:themeShade="FF"/>
                <w:sz w:val="20"/>
                <w:szCs w:val="20"/>
              </w:rPr>
            </w:pPr>
            <w:r w:rsidRPr="2846C5D6" w:rsidR="3ADCA94B">
              <w:rPr>
                <w:rFonts w:ascii="Arial" w:hAnsi="Arial" w:eastAsia="Arial" w:cs="Arial"/>
                <w:color w:val="000000" w:themeColor="text1" w:themeTint="FF" w:themeShade="FF"/>
                <w:sz w:val="20"/>
                <w:szCs w:val="20"/>
              </w:rPr>
              <w:t xml:space="preserve">All f2f Recall 2nd invite for SMR IIF population - no SMR in last 12m. No invite since 1 Apr taking DOAC </w:t>
            </w:r>
            <w:r w:rsidRPr="2846C5D6" w:rsidR="3ADCA94B">
              <w:rPr>
                <w:rFonts w:ascii="Arial" w:hAnsi="Arial" w:eastAsia="Arial" w:cs="Arial"/>
                <w:color w:val="000000" w:themeColor="text1" w:themeTint="FF" w:themeShade="FF"/>
                <w:sz w:val="20"/>
                <w:szCs w:val="20"/>
              </w:rPr>
              <w:t>excl</w:t>
            </w:r>
            <w:r w:rsidRPr="2846C5D6" w:rsidR="3ADCA94B">
              <w:rPr>
                <w:rFonts w:ascii="Arial" w:hAnsi="Arial" w:eastAsia="Arial" w:cs="Arial"/>
                <w:color w:val="000000" w:themeColor="text1" w:themeTint="FF" w:themeShade="FF"/>
                <w:sz w:val="20"/>
                <w:szCs w:val="20"/>
              </w:rPr>
              <w:t xml:space="preserve"> </w:t>
            </w:r>
            <w:r w:rsidRPr="2846C5D6" w:rsidR="3ADCA94B">
              <w:rPr>
                <w:rFonts w:ascii="Arial" w:hAnsi="Arial" w:eastAsia="Arial" w:cs="Arial"/>
                <w:color w:val="000000" w:themeColor="text1" w:themeTint="FF" w:themeShade="FF"/>
                <w:sz w:val="20"/>
                <w:szCs w:val="20"/>
              </w:rPr>
              <w:t>Edoxaban</w:t>
            </w:r>
            <w:r w:rsidRPr="2846C5D6" w:rsidR="3ADCA94B">
              <w:rPr>
                <w:rFonts w:ascii="Arial" w:hAnsi="Arial" w:eastAsia="Arial" w:cs="Arial"/>
                <w:color w:val="000000" w:themeColor="text1" w:themeTint="FF" w:themeShade="FF"/>
                <w:sz w:val="20"/>
                <w:szCs w:val="20"/>
              </w:rPr>
              <w:t xml:space="preserve"> with AF</w:t>
            </w:r>
          </w:p>
        </w:tc>
        <w:tc>
          <w:tcPr>
            <w:tcW w:w="3165" w:type="dxa"/>
            <w:vMerge/>
            <w:tcMar/>
          </w:tcPr>
          <w:p w:rsidR="00D37FFD" w:rsidRDefault="00D37FFD" w14:paraId="32E52276" w14:textId="77777777"/>
        </w:tc>
      </w:tr>
      <w:tr w:rsidR="2E4AEF1B" w:rsidTr="2846C5D6" w14:paraId="3B465220" w14:textId="77777777">
        <w:trPr>
          <w:trHeight w:val="300"/>
        </w:trPr>
        <w:tc>
          <w:tcPr>
            <w:tcW w:w="5850" w:type="dxa"/>
            <w:tcMar/>
          </w:tcPr>
          <w:p w:rsidR="2E4AEF1B" w:rsidP="2846C5D6" w:rsidRDefault="2E4AEF1B" w14:paraId="75C4F8EE" w14:textId="03494809">
            <w:pPr>
              <w:rPr>
                <w:rFonts w:ascii="Arial" w:hAnsi="Arial" w:eastAsia="Arial" w:cs="Arial"/>
                <w:color w:val="000000" w:themeColor="text1" w:themeTint="FF" w:themeShade="FF"/>
                <w:sz w:val="20"/>
                <w:szCs w:val="20"/>
              </w:rPr>
            </w:pPr>
            <w:r w:rsidRPr="2846C5D6" w:rsidR="3ADCA94B">
              <w:rPr>
                <w:rFonts w:ascii="Arial" w:hAnsi="Arial" w:eastAsia="Arial" w:cs="Arial"/>
                <w:color w:val="000000" w:themeColor="text1" w:themeTint="FF" w:themeShade="FF"/>
                <w:sz w:val="20"/>
                <w:szCs w:val="20"/>
              </w:rPr>
              <w:t xml:space="preserve">Rivaroxaban review and potential change to </w:t>
            </w:r>
            <w:r w:rsidRPr="2846C5D6" w:rsidR="3ADCA94B">
              <w:rPr>
                <w:rFonts w:ascii="Arial" w:hAnsi="Arial" w:eastAsia="Arial" w:cs="Arial"/>
                <w:color w:val="000000" w:themeColor="text1" w:themeTint="FF" w:themeShade="FF"/>
                <w:sz w:val="20"/>
                <w:szCs w:val="20"/>
              </w:rPr>
              <w:t>edoxaban</w:t>
            </w:r>
            <w:r w:rsidRPr="2846C5D6" w:rsidR="3ADCA94B">
              <w:rPr>
                <w:rFonts w:ascii="Arial" w:hAnsi="Arial" w:eastAsia="Arial" w:cs="Arial"/>
                <w:color w:val="000000" w:themeColor="text1" w:themeTint="FF" w:themeShade="FF"/>
                <w:sz w:val="20"/>
                <w:szCs w:val="20"/>
              </w:rPr>
              <w:t xml:space="preserve"> last </w:t>
            </w:r>
            <w:proofErr w:type="spellStart"/>
            <w:r w:rsidRPr="2846C5D6" w:rsidR="3ADCA94B">
              <w:rPr>
                <w:rFonts w:ascii="Arial" w:hAnsi="Arial" w:eastAsia="Arial" w:cs="Arial"/>
                <w:color w:val="000000" w:themeColor="text1" w:themeTint="FF" w:themeShade="FF"/>
                <w:sz w:val="20"/>
                <w:szCs w:val="20"/>
              </w:rPr>
              <w:t>CrCl</w:t>
            </w:r>
            <w:proofErr w:type="spellEnd"/>
            <w:r w:rsidRPr="2846C5D6" w:rsidR="3ADCA94B">
              <w:rPr>
                <w:rFonts w:ascii="Arial" w:hAnsi="Arial" w:eastAsia="Arial" w:cs="Arial"/>
                <w:color w:val="000000" w:themeColor="text1" w:themeTint="FF" w:themeShade="FF"/>
                <w:sz w:val="20"/>
                <w:szCs w:val="20"/>
              </w:rPr>
              <w:t xml:space="preserve"> &gt; 30 &lt;90 &amp;&lt;120kg</w:t>
            </w:r>
          </w:p>
          <w:p w:rsidR="2E4AEF1B" w:rsidP="2846C5D6" w:rsidRDefault="2E4AEF1B" w14:paraId="4048EF78" w14:textId="477A1FC5" w14:noSpellErr="1">
            <w:pPr>
              <w:rPr>
                <w:rFonts w:ascii="Arial" w:hAnsi="Arial" w:eastAsia="Arial" w:cs="Arial"/>
                <w:color w:val="000000" w:themeColor="text1"/>
                <w:sz w:val="20"/>
                <w:szCs w:val="20"/>
              </w:rPr>
            </w:pPr>
          </w:p>
        </w:tc>
        <w:tc>
          <w:tcPr>
            <w:tcW w:w="3165" w:type="dxa"/>
            <w:vMerge w:val="restart"/>
            <w:tcMar/>
          </w:tcPr>
          <w:p w:rsidR="2E4AEF1B" w:rsidP="2846C5D6" w:rsidRDefault="2E4AEF1B" w14:paraId="1D6A4253" w14:textId="0D3516AE" w14:noSpellErr="1">
            <w:pPr>
              <w:rPr>
                <w:rFonts w:ascii="Arial" w:hAnsi="Arial" w:eastAsia="Arial" w:cs="Arial"/>
                <w:b w:val="1"/>
                <w:bCs w:val="1"/>
                <w:color w:val="000000" w:themeColor="text1"/>
                <w:sz w:val="20"/>
                <w:szCs w:val="20"/>
              </w:rPr>
            </w:pPr>
            <w:r w:rsidRPr="2846C5D6" w:rsidR="3ADCA94B">
              <w:rPr>
                <w:rFonts w:ascii="Arial" w:hAnsi="Arial" w:eastAsia="Arial" w:cs="Arial"/>
                <w:b w:val="1"/>
                <w:bCs w:val="1"/>
                <w:color w:val="000000" w:themeColor="text1" w:themeTint="FF" w:themeShade="FF"/>
                <w:sz w:val="20"/>
                <w:szCs w:val="20"/>
              </w:rPr>
              <w:t>For PCNs who have requested to review Rivaroxaban as a separate workstream</w:t>
            </w:r>
          </w:p>
          <w:p w:rsidR="2E4AEF1B" w:rsidP="2846C5D6" w:rsidRDefault="2E4AEF1B" w14:paraId="4F860574" w14:textId="6141AEA5" w14:noSpellErr="1">
            <w:pPr>
              <w:rPr>
                <w:rFonts w:ascii="Arial" w:hAnsi="Arial" w:eastAsia="Arial" w:cs="Arial"/>
                <w:b w:val="1"/>
                <w:bCs w:val="1"/>
                <w:color w:val="000000" w:themeColor="text1"/>
                <w:sz w:val="20"/>
                <w:szCs w:val="20"/>
              </w:rPr>
            </w:pPr>
          </w:p>
          <w:p w:rsidR="2E4AEF1B" w:rsidP="2846C5D6" w:rsidRDefault="2E4AEF1B" w14:paraId="7BDBE3E4" w14:textId="6789774D" w14:noSpellErr="1">
            <w:pPr>
              <w:rPr>
                <w:rFonts w:ascii="Arial" w:hAnsi="Arial" w:eastAsia="Arial" w:cs="Arial"/>
                <w:b w:val="1"/>
                <w:bCs w:val="1"/>
                <w:color w:val="000000" w:themeColor="text1"/>
                <w:sz w:val="20"/>
                <w:szCs w:val="20"/>
              </w:rPr>
            </w:pPr>
            <w:r w:rsidRPr="2846C5D6" w:rsidR="3ADCA94B">
              <w:rPr>
                <w:rFonts w:ascii="Arial" w:hAnsi="Arial" w:eastAsia="Arial" w:cs="Arial"/>
                <w:b w:val="1"/>
                <w:bCs w:val="1"/>
                <w:color w:val="000000" w:themeColor="text1" w:themeTint="FF" w:themeShade="FF"/>
                <w:sz w:val="20"/>
                <w:szCs w:val="20"/>
              </w:rPr>
              <w:t>Patients in SMR-01 &amp; SMR-02 and who also are prescribed apixaban or dabigatran in AF</w:t>
            </w:r>
          </w:p>
        </w:tc>
      </w:tr>
      <w:tr w:rsidR="2E4AEF1B" w:rsidTr="2846C5D6" w14:paraId="4ABC6A7B" w14:textId="77777777">
        <w:trPr>
          <w:trHeight w:val="300"/>
        </w:trPr>
        <w:tc>
          <w:tcPr>
            <w:tcW w:w="5850" w:type="dxa"/>
            <w:tcMar/>
          </w:tcPr>
          <w:p w:rsidR="2E4AEF1B" w:rsidP="2846C5D6" w:rsidRDefault="2E4AEF1B" w14:paraId="45CDAB94" w14:textId="05BA2243" w14:noSpellErr="1">
            <w:pPr>
              <w:rPr>
                <w:rFonts w:ascii="Arial" w:hAnsi="Arial" w:eastAsia="Arial" w:cs="Arial"/>
                <w:color w:val="000000" w:themeColor="text1" w:themeTint="FF" w:themeShade="FF"/>
                <w:sz w:val="20"/>
                <w:szCs w:val="20"/>
              </w:rPr>
            </w:pPr>
            <w:r w:rsidRPr="2846C5D6" w:rsidR="3ADCA94B">
              <w:rPr>
                <w:rFonts w:ascii="Arial" w:hAnsi="Arial" w:eastAsia="Arial" w:cs="Arial"/>
                <w:color w:val="000000" w:themeColor="text1" w:themeTint="FF" w:themeShade="FF"/>
                <w:sz w:val="20"/>
                <w:szCs w:val="20"/>
              </w:rPr>
              <w:t>Recall 1st invite for SMR IIF population - no SMR in last 12m. No invite since 1 Apr taking apixaban / dabigatran with AF</w:t>
            </w:r>
          </w:p>
        </w:tc>
        <w:tc>
          <w:tcPr>
            <w:tcW w:w="3165" w:type="dxa"/>
            <w:vMerge/>
            <w:tcMar/>
          </w:tcPr>
          <w:p w:rsidR="00D37FFD" w:rsidRDefault="00D37FFD" w14:paraId="114FBCD0" w14:textId="77777777"/>
        </w:tc>
      </w:tr>
      <w:tr w:rsidR="2E4AEF1B" w:rsidTr="2846C5D6" w14:paraId="6D98178F" w14:textId="77777777">
        <w:trPr>
          <w:trHeight w:val="300"/>
        </w:trPr>
        <w:tc>
          <w:tcPr>
            <w:tcW w:w="5850" w:type="dxa"/>
            <w:tcMar/>
          </w:tcPr>
          <w:p w:rsidR="2E4AEF1B" w:rsidP="2846C5D6" w:rsidRDefault="2E4AEF1B" w14:paraId="6E2098E4" w14:textId="64953F7F" w14:noSpellErr="1">
            <w:pPr>
              <w:rPr>
                <w:rFonts w:ascii="Arial" w:hAnsi="Arial" w:eastAsia="Arial" w:cs="Arial"/>
                <w:color w:val="000000" w:themeColor="text1" w:themeTint="FF" w:themeShade="FF"/>
                <w:sz w:val="20"/>
                <w:szCs w:val="20"/>
              </w:rPr>
            </w:pPr>
            <w:r w:rsidRPr="2846C5D6" w:rsidR="3ADCA94B">
              <w:rPr>
                <w:rFonts w:ascii="Arial" w:hAnsi="Arial" w:eastAsia="Arial" w:cs="Arial"/>
                <w:color w:val="000000" w:themeColor="text1" w:themeTint="FF" w:themeShade="FF"/>
                <w:sz w:val="20"/>
                <w:szCs w:val="20"/>
              </w:rPr>
              <w:t>Recall 2nd invite for SMR IIF population - no SMR in last 12m. No invite since 1 Apr taking apixaban / dabigatran with AF</w:t>
            </w:r>
          </w:p>
        </w:tc>
        <w:tc>
          <w:tcPr>
            <w:tcW w:w="3165" w:type="dxa"/>
            <w:vMerge/>
            <w:tcMar/>
          </w:tcPr>
          <w:p w:rsidR="00D37FFD" w:rsidRDefault="00D37FFD" w14:paraId="209BBBCC" w14:textId="77777777"/>
        </w:tc>
      </w:tr>
    </w:tbl>
    <w:p w:rsidR="1BD5C7BB" w:rsidP="2846C5D6" w:rsidRDefault="1BD5C7BB" w14:paraId="6C737EDB" w14:textId="7239F900" w14:noSpellErr="1">
      <w:pPr>
        <w:rPr>
          <w:rFonts w:ascii="Arial" w:hAnsi="Arial" w:eastAsia="Arial" w:cs="Arial"/>
          <w:b w:val="1"/>
          <w:bCs w:val="1"/>
          <w:sz w:val="20"/>
          <w:szCs w:val="20"/>
        </w:rPr>
      </w:pPr>
    </w:p>
    <w:p w:rsidR="1BD5C7BB" w:rsidP="2846C5D6" w:rsidRDefault="1BD5C7BB" w14:paraId="75F172A3" w14:textId="39EB3703" w14:noSpellErr="1">
      <w:pPr>
        <w:rPr>
          <w:rFonts w:ascii="Arial" w:hAnsi="Arial" w:eastAsia="Arial" w:cs="Arial"/>
          <w:b w:val="1"/>
          <w:bCs w:val="1"/>
          <w:sz w:val="20"/>
          <w:szCs w:val="20"/>
        </w:rPr>
      </w:pPr>
    </w:p>
    <w:p w:rsidR="1BD5C7BB" w:rsidP="2846C5D6" w:rsidRDefault="1BD5C7BB" w14:paraId="781A704F" w14:textId="4817D8A2" w14:noSpellErr="1">
      <w:pPr>
        <w:rPr>
          <w:rFonts w:ascii="Arial" w:hAnsi="Arial" w:eastAsia="Arial" w:cs="Arial"/>
          <w:b w:val="1"/>
          <w:bCs w:val="1"/>
          <w:sz w:val="20"/>
          <w:szCs w:val="20"/>
        </w:rPr>
      </w:pPr>
    </w:p>
    <w:p w:rsidR="1BD5C7BB" w:rsidP="2846C5D6" w:rsidRDefault="1BD5C7BB" w14:paraId="56F2FABF" w14:textId="33B0B3EF" w14:noSpellErr="1">
      <w:pPr>
        <w:rPr>
          <w:rFonts w:ascii="Arial" w:hAnsi="Arial" w:eastAsia="Arial" w:cs="Arial"/>
          <w:b w:val="1"/>
          <w:bCs w:val="1"/>
          <w:sz w:val="20"/>
          <w:szCs w:val="20"/>
        </w:rPr>
      </w:pPr>
    </w:p>
    <w:p w:rsidR="1BD5C7BB" w:rsidP="2846C5D6" w:rsidRDefault="1BD5C7BB" w14:paraId="30B2B8E6" w14:textId="05F91A52" w14:noSpellErr="1">
      <w:pPr>
        <w:rPr>
          <w:rFonts w:ascii="Arial" w:hAnsi="Arial" w:eastAsia="Arial" w:cs="Arial"/>
          <w:b w:val="1"/>
          <w:bCs w:val="1"/>
          <w:sz w:val="20"/>
          <w:szCs w:val="20"/>
        </w:rPr>
      </w:pPr>
    </w:p>
    <w:p w:rsidR="2E4AEF1B" w:rsidP="2846C5D6" w:rsidRDefault="2E4AEF1B" w14:paraId="3DC5E693" w14:textId="573FEB43" w14:noSpellErr="1">
      <w:pPr>
        <w:rPr>
          <w:rFonts w:ascii="Arial" w:hAnsi="Arial" w:eastAsia="Arial" w:cs="Arial"/>
          <w:b w:val="1"/>
          <w:bCs w:val="1"/>
          <w:sz w:val="20"/>
          <w:szCs w:val="20"/>
        </w:rPr>
      </w:pPr>
      <w:r w:rsidRPr="2846C5D6" w:rsidR="3ADCA94B">
        <w:rPr>
          <w:rFonts w:ascii="Arial" w:hAnsi="Arial" w:eastAsia="Arial" w:cs="Arial"/>
          <w:b w:val="1"/>
          <w:bCs w:val="1"/>
          <w:sz w:val="20"/>
          <w:szCs w:val="20"/>
        </w:rPr>
        <w:t>Configured output format for recall clerks/ teams</w:t>
      </w:r>
    </w:p>
    <w:tbl>
      <w:tblPr>
        <w:tblStyle w:val="TableGrid"/>
        <w:tblW w:w="0" w:type="auto"/>
        <w:tblLayout w:type="fixed"/>
        <w:tblLook w:val="06A0" w:firstRow="1" w:lastRow="0" w:firstColumn="1" w:lastColumn="0" w:noHBand="1" w:noVBand="1"/>
      </w:tblPr>
      <w:tblGrid>
        <w:gridCol w:w="755"/>
        <w:gridCol w:w="755"/>
        <w:gridCol w:w="755"/>
        <w:gridCol w:w="755"/>
        <w:gridCol w:w="755"/>
        <w:gridCol w:w="755"/>
        <w:gridCol w:w="755"/>
        <w:gridCol w:w="755"/>
        <w:gridCol w:w="755"/>
        <w:gridCol w:w="755"/>
        <w:gridCol w:w="755"/>
        <w:gridCol w:w="755"/>
        <w:gridCol w:w="755"/>
      </w:tblGrid>
      <w:tr w:rsidR="2E4AEF1B" w:rsidTr="2846C5D6" w14:paraId="101C2935" w14:textId="77777777">
        <w:trPr>
          <w:trHeight w:val="300"/>
        </w:trPr>
        <w:tc>
          <w:tcPr>
            <w:tcW w:w="755" w:type="dxa"/>
            <w:tcMar/>
          </w:tcPr>
          <w:p w:rsidR="2E4AEF1B" w:rsidP="2846C5D6" w:rsidRDefault="2E4AEF1B" w14:paraId="3861D5E6" w14:textId="2C470496" w14:noSpellErr="1">
            <w:pPr>
              <w:rPr>
                <w:rFonts w:ascii="Arial" w:hAnsi="Arial" w:eastAsia="Arial" w:cs="Arial"/>
                <w:color w:val="000000" w:themeColor="text1"/>
                <w:sz w:val="16"/>
                <w:szCs w:val="16"/>
              </w:rPr>
            </w:pPr>
            <w:r w:rsidRPr="2846C5D6" w:rsidR="3ADCA94B">
              <w:rPr>
                <w:rFonts w:ascii="Arial" w:hAnsi="Arial" w:eastAsia="Arial" w:cs="Arial"/>
                <w:color w:val="000000" w:themeColor="text1" w:themeTint="FF" w:themeShade="FF"/>
                <w:sz w:val="16"/>
                <w:szCs w:val="16"/>
              </w:rPr>
              <w:t>NHS number</w:t>
            </w:r>
          </w:p>
        </w:tc>
        <w:tc>
          <w:tcPr>
            <w:tcW w:w="755" w:type="dxa"/>
            <w:tcMar/>
          </w:tcPr>
          <w:p w:rsidR="2E4AEF1B" w:rsidP="2846C5D6" w:rsidRDefault="2E4AEF1B" w14:paraId="14CDDCB4" w14:textId="586AAF4E" w14:noSpellErr="1">
            <w:pPr>
              <w:rPr>
                <w:rFonts w:ascii="Arial" w:hAnsi="Arial" w:eastAsia="Arial" w:cs="Arial"/>
                <w:color w:val="000000" w:themeColor="text1"/>
                <w:sz w:val="16"/>
                <w:szCs w:val="16"/>
              </w:rPr>
            </w:pPr>
            <w:r w:rsidRPr="2846C5D6" w:rsidR="3ADCA94B">
              <w:rPr>
                <w:rFonts w:ascii="Arial" w:hAnsi="Arial" w:eastAsia="Arial" w:cs="Arial"/>
                <w:color w:val="000000" w:themeColor="text1" w:themeTint="FF" w:themeShade="FF"/>
                <w:sz w:val="16"/>
                <w:szCs w:val="16"/>
              </w:rPr>
              <w:t>Name</w:t>
            </w:r>
          </w:p>
        </w:tc>
        <w:tc>
          <w:tcPr>
            <w:tcW w:w="755" w:type="dxa"/>
            <w:tcMar/>
          </w:tcPr>
          <w:p w:rsidR="2E4AEF1B" w:rsidP="2846C5D6" w:rsidRDefault="2E4AEF1B" w14:paraId="22EFD589" w14:textId="5D85D9CB" w14:noSpellErr="1">
            <w:pPr>
              <w:rPr>
                <w:rFonts w:ascii="Arial" w:hAnsi="Arial" w:eastAsia="Arial" w:cs="Arial"/>
                <w:color w:val="000000" w:themeColor="text1"/>
                <w:sz w:val="16"/>
                <w:szCs w:val="16"/>
              </w:rPr>
            </w:pPr>
            <w:r w:rsidRPr="2846C5D6" w:rsidR="3ADCA94B">
              <w:rPr>
                <w:rFonts w:ascii="Arial" w:hAnsi="Arial" w:eastAsia="Arial" w:cs="Arial"/>
                <w:color w:val="000000" w:themeColor="text1" w:themeTint="FF" w:themeShade="FF"/>
                <w:sz w:val="16"/>
                <w:szCs w:val="16"/>
              </w:rPr>
              <w:t>Age</w:t>
            </w:r>
          </w:p>
        </w:tc>
        <w:tc>
          <w:tcPr>
            <w:tcW w:w="755" w:type="dxa"/>
            <w:tcMar/>
          </w:tcPr>
          <w:p w:rsidR="2E4AEF1B" w:rsidP="2846C5D6" w:rsidRDefault="2E4AEF1B" w14:paraId="4C38855C" w14:textId="3A5C9549" w14:noSpellErr="1">
            <w:pPr>
              <w:rPr>
                <w:rFonts w:ascii="Arial" w:hAnsi="Arial" w:eastAsia="Arial" w:cs="Arial"/>
                <w:color w:val="000000" w:themeColor="text1"/>
                <w:sz w:val="16"/>
                <w:szCs w:val="16"/>
              </w:rPr>
            </w:pPr>
            <w:r w:rsidRPr="2846C5D6" w:rsidR="3ADCA94B">
              <w:rPr>
                <w:rFonts w:ascii="Arial" w:hAnsi="Arial" w:eastAsia="Arial" w:cs="Arial"/>
                <w:color w:val="000000" w:themeColor="text1" w:themeTint="FF" w:themeShade="FF"/>
                <w:sz w:val="16"/>
                <w:szCs w:val="16"/>
              </w:rPr>
              <w:t>Address</w:t>
            </w:r>
          </w:p>
        </w:tc>
        <w:tc>
          <w:tcPr>
            <w:tcW w:w="755" w:type="dxa"/>
            <w:tcMar/>
          </w:tcPr>
          <w:p w:rsidR="2E4AEF1B" w:rsidP="2846C5D6" w:rsidRDefault="2E4AEF1B" w14:paraId="170B3871" w14:textId="43ADC742" w14:noSpellErr="1">
            <w:pPr>
              <w:rPr>
                <w:rFonts w:ascii="Arial" w:hAnsi="Arial" w:eastAsia="Arial" w:cs="Arial"/>
                <w:color w:val="000000" w:themeColor="text1"/>
                <w:sz w:val="16"/>
                <w:szCs w:val="16"/>
              </w:rPr>
            </w:pPr>
            <w:r w:rsidRPr="2846C5D6" w:rsidR="3ADCA94B">
              <w:rPr>
                <w:rFonts w:ascii="Arial" w:hAnsi="Arial" w:eastAsia="Arial" w:cs="Arial"/>
                <w:color w:val="000000" w:themeColor="text1" w:themeTint="FF" w:themeShade="FF"/>
                <w:sz w:val="16"/>
                <w:szCs w:val="16"/>
              </w:rPr>
              <w:t>Preferred contact number</w:t>
            </w:r>
          </w:p>
        </w:tc>
        <w:tc>
          <w:tcPr>
            <w:tcW w:w="755" w:type="dxa"/>
            <w:tcMar/>
          </w:tcPr>
          <w:p w:rsidR="2E4AEF1B" w:rsidP="2846C5D6" w:rsidRDefault="2E4AEF1B" w14:paraId="4F9E63B8" w14:textId="0B5F801F" w14:noSpellErr="1">
            <w:pPr>
              <w:rPr>
                <w:rFonts w:ascii="Arial" w:hAnsi="Arial" w:eastAsia="Arial" w:cs="Arial"/>
                <w:color w:val="000000" w:themeColor="text1"/>
                <w:sz w:val="16"/>
                <w:szCs w:val="16"/>
              </w:rPr>
            </w:pPr>
            <w:r w:rsidRPr="2846C5D6" w:rsidR="3ADCA94B">
              <w:rPr>
                <w:rFonts w:ascii="Arial" w:hAnsi="Arial" w:eastAsia="Arial" w:cs="Arial"/>
                <w:color w:val="000000" w:themeColor="text1" w:themeTint="FF" w:themeShade="FF"/>
                <w:sz w:val="16"/>
                <w:szCs w:val="16"/>
              </w:rPr>
              <w:t>Mobile telephone</w:t>
            </w:r>
          </w:p>
        </w:tc>
        <w:tc>
          <w:tcPr>
            <w:tcW w:w="755" w:type="dxa"/>
            <w:tcMar/>
          </w:tcPr>
          <w:p w:rsidR="2E4AEF1B" w:rsidP="2846C5D6" w:rsidRDefault="2E4AEF1B" w14:paraId="3D36928D" w14:textId="24663727" w14:noSpellErr="1">
            <w:pPr>
              <w:rPr>
                <w:rFonts w:ascii="Arial" w:hAnsi="Arial" w:eastAsia="Arial" w:cs="Arial"/>
                <w:color w:val="000000" w:themeColor="text1"/>
                <w:sz w:val="16"/>
                <w:szCs w:val="16"/>
              </w:rPr>
            </w:pPr>
            <w:r w:rsidRPr="2846C5D6" w:rsidR="3ADCA94B">
              <w:rPr>
                <w:rFonts w:ascii="Arial" w:hAnsi="Arial" w:eastAsia="Arial" w:cs="Arial"/>
                <w:color w:val="000000" w:themeColor="text1" w:themeTint="FF" w:themeShade="FF"/>
                <w:sz w:val="16"/>
                <w:szCs w:val="16"/>
              </w:rPr>
              <w:t>Invitations</w:t>
            </w:r>
          </w:p>
        </w:tc>
        <w:tc>
          <w:tcPr>
            <w:tcW w:w="755" w:type="dxa"/>
            <w:tcMar/>
          </w:tcPr>
          <w:p w:rsidR="2E4AEF1B" w:rsidP="2846C5D6" w:rsidRDefault="2E4AEF1B" w14:paraId="514EB4B5" w14:textId="797B2D60" w14:noSpellErr="1">
            <w:pPr>
              <w:rPr>
                <w:rFonts w:ascii="Arial" w:hAnsi="Arial" w:eastAsia="Arial" w:cs="Arial"/>
                <w:color w:val="000000" w:themeColor="text1"/>
                <w:sz w:val="16"/>
                <w:szCs w:val="16"/>
              </w:rPr>
            </w:pPr>
            <w:r w:rsidRPr="2846C5D6" w:rsidR="3ADCA94B">
              <w:rPr>
                <w:rFonts w:ascii="Arial" w:hAnsi="Arial" w:eastAsia="Arial" w:cs="Arial"/>
                <w:color w:val="000000" w:themeColor="text1" w:themeTint="FF" w:themeShade="FF"/>
                <w:sz w:val="16"/>
                <w:szCs w:val="16"/>
              </w:rPr>
              <w:t>Date</w:t>
            </w:r>
          </w:p>
        </w:tc>
        <w:tc>
          <w:tcPr>
            <w:tcW w:w="755" w:type="dxa"/>
            <w:tcMar/>
          </w:tcPr>
          <w:p w:rsidR="2E4AEF1B" w:rsidP="2846C5D6" w:rsidRDefault="2E4AEF1B" w14:paraId="76147F9F" w14:textId="7E82EBB9" w14:noSpellErr="1">
            <w:pPr>
              <w:rPr>
                <w:rFonts w:ascii="Arial" w:hAnsi="Arial" w:eastAsia="Arial" w:cs="Arial"/>
                <w:color w:val="000000" w:themeColor="text1"/>
                <w:sz w:val="16"/>
                <w:szCs w:val="16"/>
              </w:rPr>
            </w:pPr>
            <w:r w:rsidRPr="2846C5D6" w:rsidR="3ADCA94B">
              <w:rPr>
                <w:rFonts w:ascii="Arial" w:hAnsi="Arial" w:eastAsia="Arial" w:cs="Arial"/>
                <w:color w:val="000000" w:themeColor="text1" w:themeTint="FF" w:themeShade="FF"/>
                <w:sz w:val="16"/>
                <w:szCs w:val="16"/>
              </w:rPr>
              <w:t>DOAC</w:t>
            </w:r>
          </w:p>
        </w:tc>
        <w:tc>
          <w:tcPr>
            <w:tcW w:w="755" w:type="dxa"/>
            <w:tcMar/>
          </w:tcPr>
          <w:p w:rsidR="2E4AEF1B" w:rsidP="2846C5D6" w:rsidRDefault="2E4AEF1B" w14:paraId="7771C82A" w14:textId="2CB0FAD5" w14:noSpellErr="1">
            <w:pPr>
              <w:rPr>
                <w:rFonts w:ascii="Arial" w:hAnsi="Arial" w:eastAsia="Arial" w:cs="Arial"/>
                <w:color w:val="000000" w:themeColor="text1"/>
                <w:sz w:val="16"/>
                <w:szCs w:val="16"/>
              </w:rPr>
            </w:pPr>
            <w:r w:rsidRPr="2846C5D6" w:rsidR="3ADCA94B">
              <w:rPr>
                <w:rFonts w:ascii="Arial" w:hAnsi="Arial" w:eastAsia="Arial" w:cs="Arial"/>
                <w:color w:val="000000" w:themeColor="text1" w:themeTint="FF" w:themeShade="FF"/>
                <w:sz w:val="16"/>
                <w:szCs w:val="16"/>
              </w:rPr>
              <w:t>Dose</w:t>
            </w:r>
          </w:p>
        </w:tc>
        <w:tc>
          <w:tcPr>
            <w:tcW w:w="755" w:type="dxa"/>
            <w:tcMar/>
          </w:tcPr>
          <w:p w:rsidR="2E4AEF1B" w:rsidP="2846C5D6" w:rsidRDefault="2E4AEF1B" w14:paraId="42BD159F" w14:textId="77EF6BD8" w14:noSpellErr="1">
            <w:pPr>
              <w:rPr>
                <w:rFonts w:ascii="Arial" w:hAnsi="Arial" w:eastAsia="Arial" w:cs="Arial"/>
                <w:color w:val="000000" w:themeColor="text1"/>
                <w:sz w:val="16"/>
                <w:szCs w:val="16"/>
              </w:rPr>
            </w:pPr>
            <w:r w:rsidRPr="2846C5D6" w:rsidR="3ADCA94B">
              <w:rPr>
                <w:rFonts w:ascii="Arial" w:hAnsi="Arial" w:eastAsia="Arial" w:cs="Arial"/>
                <w:color w:val="000000" w:themeColor="text1" w:themeTint="FF" w:themeShade="FF"/>
                <w:sz w:val="16"/>
                <w:szCs w:val="16"/>
              </w:rPr>
              <w:t>Severe Frailty</w:t>
            </w:r>
          </w:p>
        </w:tc>
        <w:tc>
          <w:tcPr>
            <w:tcW w:w="755" w:type="dxa"/>
            <w:tcMar/>
          </w:tcPr>
          <w:p w:rsidR="2E4AEF1B" w:rsidP="2846C5D6" w:rsidRDefault="2E4AEF1B" w14:paraId="12EE4779" w14:textId="64DBC2F0" w14:noSpellErr="1">
            <w:pPr>
              <w:rPr>
                <w:rFonts w:ascii="Arial" w:hAnsi="Arial" w:eastAsia="Arial" w:cs="Arial"/>
                <w:color w:val="000000" w:themeColor="text1"/>
                <w:sz w:val="16"/>
                <w:szCs w:val="16"/>
              </w:rPr>
            </w:pPr>
            <w:r w:rsidRPr="2846C5D6" w:rsidR="3ADCA94B">
              <w:rPr>
                <w:rFonts w:ascii="Arial" w:hAnsi="Arial" w:eastAsia="Arial" w:cs="Arial"/>
                <w:color w:val="000000" w:themeColor="text1" w:themeTint="FF" w:themeShade="FF"/>
                <w:sz w:val="16"/>
                <w:szCs w:val="16"/>
              </w:rPr>
              <w:t xml:space="preserve">Usual </w:t>
            </w:r>
            <w:r w:rsidRPr="2846C5D6" w:rsidR="3ADCA94B">
              <w:rPr>
                <w:rFonts w:ascii="Arial" w:hAnsi="Arial" w:eastAsia="Arial" w:cs="Arial"/>
                <w:color w:val="000000" w:themeColor="text1" w:themeTint="FF" w:themeShade="FF"/>
                <w:sz w:val="16"/>
                <w:szCs w:val="16"/>
              </w:rPr>
              <w:t>GP</w:t>
            </w:r>
          </w:p>
        </w:tc>
        <w:tc>
          <w:tcPr>
            <w:tcW w:w="755" w:type="dxa"/>
            <w:tcMar/>
          </w:tcPr>
          <w:p w:rsidR="2E4AEF1B" w:rsidP="2846C5D6" w:rsidRDefault="2E4AEF1B" w14:paraId="1924C965" w14:textId="12CA4A86" w14:noSpellErr="1">
            <w:pPr>
              <w:rPr>
                <w:rFonts w:ascii="Arial" w:hAnsi="Arial" w:eastAsia="Arial" w:cs="Arial"/>
                <w:color w:val="000000" w:themeColor="text1"/>
                <w:sz w:val="16"/>
                <w:szCs w:val="16"/>
              </w:rPr>
            </w:pPr>
            <w:r w:rsidRPr="2846C5D6" w:rsidR="3ADCA94B">
              <w:rPr>
                <w:rFonts w:ascii="Arial" w:hAnsi="Arial" w:eastAsia="Arial" w:cs="Arial"/>
                <w:color w:val="000000" w:themeColor="text1" w:themeTint="FF" w:themeShade="FF"/>
                <w:sz w:val="16"/>
                <w:szCs w:val="16"/>
              </w:rPr>
              <w:t>Usual branch</w:t>
            </w:r>
          </w:p>
        </w:tc>
      </w:tr>
    </w:tbl>
    <w:p w:rsidR="2E4AEF1B" w:rsidP="2846C5D6" w:rsidRDefault="2E4AEF1B" w14:paraId="60864F35" w14:textId="35B6ABC5" w14:noSpellErr="1">
      <w:pPr>
        <w:rPr>
          <w:rFonts w:ascii="Arial" w:hAnsi="Arial" w:eastAsia="Arial" w:cs="Arial"/>
          <w:sz w:val="20"/>
          <w:szCs w:val="20"/>
        </w:rPr>
      </w:pPr>
    </w:p>
    <w:p w:rsidR="2E4AEF1B" w:rsidP="2846C5D6" w:rsidRDefault="2E4AEF1B" w14:paraId="5D8BB1B2" w14:textId="009B71DE" w14:noSpellErr="1">
      <w:pPr>
        <w:rPr>
          <w:rFonts w:ascii="Arial" w:hAnsi="Arial" w:eastAsia="Arial" w:cs="Arial"/>
          <w:sz w:val="20"/>
          <w:szCs w:val="20"/>
        </w:rPr>
      </w:pPr>
      <w:r w:rsidRPr="2846C5D6" w:rsidR="3ADCA94B">
        <w:rPr>
          <w:rFonts w:ascii="Arial" w:hAnsi="Arial" w:eastAsia="Arial" w:cs="Arial"/>
          <w:sz w:val="20"/>
          <w:szCs w:val="20"/>
        </w:rPr>
        <w:t xml:space="preserve">Configured output highlights address (to </w:t>
      </w:r>
      <w:r w:rsidRPr="2846C5D6" w:rsidR="3ADCA94B">
        <w:rPr>
          <w:rFonts w:ascii="Arial" w:hAnsi="Arial" w:eastAsia="Arial" w:cs="Arial"/>
          <w:sz w:val="20"/>
          <w:szCs w:val="20"/>
        </w:rPr>
        <w:t>identify</w:t>
      </w:r>
      <w:r w:rsidRPr="2846C5D6" w:rsidR="3ADCA94B">
        <w:rPr>
          <w:rFonts w:ascii="Arial" w:hAnsi="Arial" w:eastAsia="Arial" w:cs="Arial"/>
          <w:sz w:val="20"/>
          <w:szCs w:val="20"/>
        </w:rPr>
        <w:t xml:space="preserve"> care home patients) </w:t>
      </w:r>
      <w:r w:rsidRPr="2846C5D6" w:rsidR="3ADCA94B">
        <w:rPr>
          <w:rFonts w:ascii="Arial" w:hAnsi="Arial" w:eastAsia="Arial" w:cs="Arial"/>
          <w:sz w:val="20"/>
          <w:szCs w:val="20"/>
        </w:rPr>
        <w:t>previous</w:t>
      </w:r>
      <w:r w:rsidRPr="2846C5D6" w:rsidR="3ADCA94B">
        <w:rPr>
          <w:rFonts w:ascii="Arial" w:hAnsi="Arial" w:eastAsia="Arial" w:cs="Arial"/>
          <w:sz w:val="20"/>
          <w:szCs w:val="20"/>
        </w:rPr>
        <w:t xml:space="preserve"> invitation coding and date, DOAC prescribed and frailty coding.</w:t>
      </w:r>
    </w:p>
    <w:p w:rsidRPr="00427910" w:rsidR="0043074F" w:rsidP="1BD5C7BB" w:rsidRDefault="0043074F" w14:paraId="50D18E14" w14:textId="00B15638">
      <w:pPr>
        <w:rPr>
          <w:rFonts w:ascii="Arial" w:hAnsi="Arial" w:cs="Arial"/>
          <w:sz w:val="20"/>
          <w:szCs w:val="20"/>
        </w:rPr>
      </w:pPr>
    </w:p>
    <w:p w:rsidRPr="00427910" w:rsidR="0043074F" w:rsidP="1BD5C7BB" w:rsidRDefault="2E4AEF1B" w14:paraId="341BF619" w14:textId="3670C4D9">
      <w:pPr>
        <w:rPr>
          <w:rFonts w:ascii="Arial" w:hAnsi="Arial" w:cs="Arial"/>
          <w:b/>
          <w:bCs/>
          <w:sz w:val="20"/>
          <w:szCs w:val="20"/>
        </w:rPr>
      </w:pPr>
      <w:r w:rsidRPr="1BD5C7BB">
        <w:rPr>
          <w:rFonts w:ascii="Arial" w:hAnsi="Arial" w:cs="Arial"/>
          <w:b/>
          <w:bCs/>
          <w:sz w:val="20"/>
          <w:szCs w:val="20"/>
        </w:rPr>
        <w:t>Coding</w:t>
      </w:r>
    </w:p>
    <w:p w:rsidRPr="00427910" w:rsidR="0043074F" w:rsidP="1BD5C7BB" w:rsidRDefault="2E4AEF1B" w14:paraId="30E910E7" w14:textId="2FD75F38">
      <w:pPr>
        <w:rPr>
          <w:rFonts w:ascii="Arial" w:hAnsi="Arial" w:cs="Arial"/>
          <w:sz w:val="20"/>
          <w:szCs w:val="20"/>
        </w:rPr>
      </w:pPr>
      <w:r w:rsidRPr="2846C5D6" w:rsidR="3ADCA94B">
        <w:rPr>
          <w:rFonts w:ascii="Arial" w:hAnsi="Arial" w:cs="Arial"/>
          <w:sz w:val="20"/>
          <w:szCs w:val="20"/>
        </w:rPr>
        <w:t xml:space="preserve">Each search will pick up whether patients have been seen or invited for an SMR since 1 April until Mar 31 in any given </w:t>
      </w:r>
      <w:r w:rsidRPr="2846C5D6" w:rsidR="3ADCA94B">
        <w:rPr>
          <w:rFonts w:ascii="Arial" w:hAnsi="Arial" w:cs="Arial"/>
          <w:sz w:val="20"/>
          <w:szCs w:val="20"/>
        </w:rPr>
        <w:t>financial year</w:t>
      </w:r>
      <w:r w:rsidRPr="2846C5D6" w:rsidR="3ADCA94B">
        <w:rPr>
          <w:rFonts w:ascii="Arial" w:hAnsi="Arial" w:cs="Arial"/>
          <w:sz w:val="20"/>
          <w:szCs w:val="20"/>
        </w:rPr>
        <w:t xml:space="preserve">. Invitation and declined coding </w:t>
      </w:r>
      <w:r w:rsidRPr="2846C5D6" w:rsidR="3ADCA94B">
        <w:rPr>
          <w:rFonts w:ascii="Arial" w:hAnsi="Arial" w:cs="Arial"/>
          <w:sz w:val="20"/>
          <w:szCs w:val="20"/>
        </w:rPr>
        <w:t>are</w:t>
      </w:r>
      <w:r w:rsidRPr="2846C5D6" w:rsidR="3ADCA94B">
        <w:rPr>
          <w:rFonts w:ascii="Arial" w:hAnsi="Arial" w:cs="Arial"/>
          <w:sz w:val="20"/>
          <w:szCs w:val="20"/>
        </w:rPr>
        <w:t xml:space="preserve"> listed below. Historic coding will be included in searches for next 12 months to avoid duplication of effort but newly published codes for SMR invitations should be used in future.</w:t>
      </w:r>
    </w:p>
    <w:tbl>
      <w:tblPr>
        <w:tblStyle w:val="TableGrid"/>
        <w:tblW w:w="0" w:type="auto"/>
        <w:tblLook w:val="06A0" w:firstRow="1" w:lastRow="0" w:firstColumn="1" w:lastColumn="0" w:noHBand="1" w:noVBand="1"/>
      </w:tblPr>
      <w:tblGrid>
        <w:gridCol w:w="2775"/>
        <w:gridCol w:w="6240"/>
      </w:tblGrid>
      <w:tr w:rsidR="1BD5C7BB" w:rsidTr="1BD5C7BB" w14:paraId="5160726C" w14:textId="77777777">
        <w:tc>
          <w:tcPr>
            <w:tcW w:w="9015" w:type="dxa"/>
            <w:gridSpan w:val="2"/>
          </w:tcPr>
          <w:p w:rsidR="2E4AEF1B" w:rsidP="1BD5C7BB" w:rsidRDefault="2E4AEF1B" w14:paraId="1524B559" w14:textId="6F7505FF">
            <w:pPr>
              <w:rPr>
                <w:rFonts w:ascii="Arial" w:hAnsi="Arial" w:cs="Arial"/>
                <w:sz w:val="20"/>
                <w:szCs w:val="20"/>
              </w:rPr>
            </w:pPr>
            <w:r w:rsidRPr="1BD5C7BB">
              <w:rPr>
                <w:rFonts w:ascii="Arial" w:hAnsi="Arial" w:cs="Arial"/>
                <w:sz w:val="20"/>
                <w:szCs w:val="20"/>
              </w:rPr>
              <w:t>Preferred Coding</w:t>
            </w:r>
          </w:p>
        </w:tc>
      </w:tr>
      <w:tr w:rsidR="1BD5C7BB" w:rsidTr="1BD5C7BB" w14:paraId="1A521371" w14:textId="77777777">
        <w:tc>
          <w:tcPr>
            <w:tcW w:w="2775" w:type="dxa"/>
          </w:tcPr>
          <w:p w:rsidR="2E4AEF1B" w:rsidP="1BD5C7BB" w:rsidRDefault="2E4AEF1B" w14:paraId="35BCDE4C" w14:textId="3DE787F0">
            <w:pPr>
              <w:rPr>
                <w:rFonts w:ascii="Arial" w:hAnsi="Arial" w:cs="Arial"/>
                <w:sz w:val="20"/>
                <w:szCs w:val="20"/>
              </w:rPr>
            </w:pPr>
            <w:r w:rsidRPr="1BD5C7BB">
              <w:rPr>
                <w:rFonts w:ascii="Arial" w:hAnsi="Arial" w:cs="Arial"/>
                <w:sz w:val="20"/>
                <w:szCs w:val="20"/>
              </w:rPr>
              <w:t>Invitation</w:t>
            </w:r>
          </w:p>
        </w:tc>
        <w:tc>
          <w:tcPr>
            <w:tcW w:w="6240" w:type="dxa"/>
          </w:tcPr>
          <w:p w:rsidR="2E4AEF1B" w:rsidP="1BD5C7BB" w:rsidRDefault="2E4AEF1B" w14:paraId="07CACF9B" w14:textId="2ED6ED90">
            <w:pPr>
              <w:rPr>
                <w:rFonts w:ascii="Calibri" w:hAnsi="Calibri" w:eastAsia="Calibri" w:cs="Calibri"/>
                <w:color w:val="444444"/>
                <w:lang w:val="en-US"/>
              </w:rPr>
            </w:pPr>
            <w:r w:rsidRPr="1BD5C7BB">
              <w:rPr>
                <w:rFonts w:ascii="Calibri" w:hAnsi="Calibri" w:eastAsia="Calibri" w:cs="Calibri"/>
                <w:color w:val="444444"/>
              </w:rPr>
              <w:t>Invitation for structured medication review Y35e3</w:t>
            </w:r>
          </w:p>
        </w:tc>
      </w:tr>
      <w:tr w:rsidR="1BD5C7BB" w:rsidTr="1BD5C7BB" w14:paraId="7A83BBB8" w14:textId="77777777">
        <w:tc>
          <w:tcPr>
            <w:tcW w:w="2775" w:type="dxa"/>
          </w:tcPr>
          <w:p w:rsidR="2E4AEF1B" w:rsidP="1BD5C7BB" w:rsidRDefault="2E4AEF1B" w14:paraId="3B0B3792" w14:textId="085142E2">
            <w:pPr>
              <w:rPr>
                <w:rFonts w:ascii="Arial" w:hAnsi="Arial" w:cs="Arial"/>
                <w:sz w:val="20"/>
                <w:szCs w:val="20"/>
              </w:rPr>
            </w:pPr>
            <w:r w:rsidRPr="1BD5C7BB">
              <w:rPr>
                <w:rFonts w:ascii="Arial" w:hAnsi="Arial" w:cs="Arial"/>
                <w:sz w:val="20"/>
                <w:szCs w:val="20"/>
              </w:rPr>
              <w:t>Declined</w:t>
            </w:r>
          </w:p>
        </w:tc>
        <w:tc>
          <w:tcPr>
            <w:tcW w:w="6240" w:type="dxa"/>
          </w:tcPr>
          <w:p w:rsidR="2E4AEF1B" w:rsidP="1BD5C7BB" w:rsidRDefault="2E4AEF1B" w14:paraId="71F8EFFB" w14:textId="1A715965">
            <w:pPr>
              <w:rPr>
                <w:rFonts w:ascii="Calibri" w:hAnsi="Calibri" w:eastAsia="Calibri" w:cs="Calibri"/>
                <w:color w:val="444444"/>
                <w:lang w:val="en-US"/>
              </w:rPr>
            </w:pPr>
            <w:r w:rsidRPr="1BD5C7BB">
              <w:rPr>
                <w:rFonts w:ascii="Calibri" w:hAnsi="Calibri" w:eastAsia="Calibri" w:cs="Calibri"/>
                <w:color w:val="444444"/>
              </w:rPr>
              <w:t>Invitation for structured medication review declined Y35da</w:t>
            </w:r>
          </w:p>
        </w:tc>
      </w:tr>
      <w:tr w:rsidR="1BD5C7BB" w:rsidTr="1BD5C7BB" w14:paraId="6CE602E8" w14:textId="77777777">
        <w:tc>
          <w:tcPr>
            <w:tcW w:w="9015" w:type="dxa"/>
            <w:gridSpan w:val="2"/>
          </w:tcPr>
          <w:p w:rsidR="2E4AEF1B" w:rsidP="1BD5C7BB" w:rsidRDefault="2E4AEF1B" w14:paraId="79DCED44" w14:textId="17C90097">
            <w:pPr>
              <w:rPr>
                <w:rFonts w:ascii="Arial" w:hAnsi="Arial" w:cs="Arial"/>
                <w:sz w:val="20"/>
                <w:szCs w:val="20"/>
              </w:rPr>
            </w:pPr>
            <w:r w:rsidRPr="1BD5C7BB">
              <w:rPr>
                <w:rFonts w:ascii="Arial" w:hAnsi="Arial" w:cs="Arial"/>
                <w:sz w:val="20"/>
                <w:szCs w:val="20"/>
              </w:rPr>
              <w:t>Historic coding</w:t>
            </w:r>
          </w:p>
        </w:tc>
      </w:tr>
      <w:tr w:rsidR="1BD5C7BB" w:rsidTr="1BD5C7BB" w14:paraId="14F95EFA" w14:textId="77777777">
        <w:tc>
          <w:tcPr>
            <w:tcW w:w="2775" w:type="dxa"/>
          </w:tcPr>
          <w:p w:rsidR="2E4AEF1B" w:rsidP="1BD5C7BB" w:rsidRDefault="2E4AEF1B" w14:paraId="4E0CFB9A" w14:textId="3DE787F0">
            <w:pPr>
              <w:rPr>
                <w:rFonts w:ascii="Arial" w:hAnsi="Arial" w:cs="Arial"/>
                <w:sz w:val="20"/>
                <w:szCs w:val="20"/>
              </w:rPr>
            </w:pPr>
            <w:r w:rsidRPr="1BD5C7BB">
              <w:rPr>
                <w:rFonts w:ascii="Arial" w:hAnsi="Arial" w:cs="Arial"/>
                <w:sz w:val="20"/>
                <w:szCs w:val="20"/>
              </w:rPr>
              <w:t>Invitation</w:t>
            </w:r>
          </w:p>
        </w:tc>
        <w:tc>
          <w:tcPr>
            <w:tcW w:w="6240" w:type="dxa"/>
          </w:tcPr>
          <w:p w:rsidR="2E4AEF1B" w:rsidP="1BD5C7BB" w:rsidRDefault="2E4AEF1B" w14:paraId="564C1F39" w14:textId="32683C13">
            <w:pPr>
              <w:spacing w:line="240" w:lineRule="exact"/>
              <w:rPr>
                <w:rFonts w:ascii="Calibri" w:hAnsi="Calibri" w:eastAsia="Calibri" w:cs="Calibri"/>
                <w:color w:val="444444"/>
              </w:rPr>
            </w:pPr>
            <w:r w:rsidRPr="1BD5C7BB">
              <w:rPr>
                <w:rFonts w:ascii="Calibri" w:hAnsi="Calibri" w:eastAsia="Calibri" w:cs="Calibri"/>
                <w:color w:val="444444"/>
              </w:rPr>
              <w:t xml:space="preserve">Medication review invitation </w:t>
            </w:r>
            <w:proofErr w:type="spellStart"/>
            <w:r w:rsidRPr="1BD5C7BB">
              <w:rPr>
                <w:rFonts w:ascii="Calibri" w:hAnsi="Calibri" w:eastAsia="Calibri" w:cs="Calibri"/>
                <w:color w:val="444444"/>
              </w:rPr>
              <w:t>XagbK</w:t>
            </w:r>
            <w:proofErr w:type="spellEnd"/>
          </w:p>
        </w:tc>
      </w:tr>
      <w:tr w:rsidR="1BD5C7BB" w:rsidTr="1BD5C7BB" w14:paraId="1C4D91D9" w14:textId="77777777">
        <w:tc>
          <w:tcPr>
            <w:tcW w:w="2775" w:type="dxa"/>
          </w:tcPr>
          <w:p w:rsidR="2E4AEF1B" w:rsidP="1BD5C7BB" w:rsidRDefault="2E4AEF1B" w14:paraId="6926F90B" w14:textId="085142E2">
            <w:pPr>
              <w:rPr>
                <w:rFonts w:ascii="Arial" w:hAnsi="Arial" w:cs="Arial"/>
                <w:sz w:val="20"/>
                <w:szCs w:val="20"/>
              </w:rPr>
            </w:pPr>
            <w:r w:rsidRPr="1BD5C7BB">
              <w:rPr>
                <w:rFonts w:ascii="Arial" w:hAnsi="Arial" w:cs="Arial"/>
                <w:sz w:val="20"/>
                <w:szCs w:val="20"/>
              </w:rPr>
              <w:t>Declined</w:t>
            </w:r>
          </w:p>
        </w:tc>
        <w:tc>
          <w:tcPr>
            <w:tcW w:w="6240" w:type="dxa"/>
          </w:tcPr>
          <w:p w:rsidR="2E4AEF1B" w:rsidP="1BD5C7BB" w:rsidRDefault="2E4AEF1B" w14:paraId="497140CE" w14:textId="63A40FFA">
            <w:pPr>
              <w:spacing w:line="240" w:lineRule="exact"/>
              <w:rPr>
                <w:rFonts w:ascii="Calibri" w:hAnsi="Calibri" w:eastAsia="Calibri" w:cs="Calibri"/>
                <w:color w:val="444444"/>
              </w:rPr>
            </w:pPr>
            <w:r w:rsidRPr="1BD5C7BB">
              <w:rPr>
                <w:rFonts w:ascii="Calibri" w:hAnsi="Calibri" w:eastAsia="Calibri" w:cs="Calibri"/>
                <w:color w:val="444444"/>
              </w:rPr>
              <w:t>Medication review declined XaJf5</w:t>
            </w:r>
          </w:p>
        </w:tc>
      </w:tr>
    </w:tbl>
    <w:p w:rsidRPr="00427910" w:rsidR="0043074F" w:rsidP="1BD5C7BB" w:rsidRDefault="0043074F" w14:paraId="6972220C" w14:textId="7540D373">
      <w:pPr>
        <w:rPr>
          <w:rFonts w:ascii="Arial" w:hAnsi="Arial" w:cs="Arial"/>
          <w:sz w:val="20"/>
          <w:szCs w:val="20"/>
        </w:rPr>
      </w:pPr>
    </w:p>
    <w:p w:rsidRPr="00D06BDC" w:rsidR="00D06BDC" w:rsidP="00D06BDC" w:rsidRDefault="0043074F" w14:paraId="1D367FFA" w14:textId="426BD198">
      <w:pPr>
        <w:pStyle w:val="NormalWeb"/>
        <w:spacing w:before="0" w:beforeAutospacing="0" w:after="0" w:afterAutospacing="0"/>
        <w:rPr>
          <w:rFonts w:ascii="Segoe UI" w:hAnsi="Segoe UI" w:eastAsia="Times New Roman" w:cs="Segoe UI"/>
          <w:b/>
          <w:bCs/>
          <w:sz w:val="21"/>
          <w:szCs w:val="21"/>
        </w:rPr>
      </w:pPr>
      <w:r w:rsidRPr="00D06BDC">
        <w:rPr>
          <w:rFonts w:ascii="Arial" w:hAnsi="Arial" w:cs="Arial"/>
          <w:b/>
          <w:bCs/>
          <w:sz w:val="20"/>
          <w:szCs w:val="20"/>
        </w:rPr>
        <w:t>Templates</w:t>
      </w:r>
      <w:r w:rsidRPr="00D06BDC" w:rsidR="00D06BDC">
        <w:rPr>
          <w:rFonts w:ascii="Arial" w:hAnsi="Arial" w:cs="Arial"/>
          <w:b/>
          <w:bCs/>
          <w:sz w:val="20"/>
          <w:szCs w:val="20"/>
        </w:rPr>
        <w:t>:</w:t>
      </w:r>
    </w:p>
    <w:p w:rsidRPr="00D06BDC" w:rsidR="00D06BDC" w:rsidP="00D06BDC" w:rsidRDefault="00D06BDC" w14:paraId="4ED86546" w14:textId="62F42601">
      <w:pPr>
        <w:spacing w:before="100" w:beforeAutospacing="1" w:after="100" w:afterAutospacing="1" w:line="240" w:lineRule="auto"/>
        <w:rPr>
          <w:rFonts w:ascii="Segoe UI" w:hAnsi="Segoe UI" w:eastAsia="Times New Roman" w:cs="Segoe UI"/>
          <w:sz w:val="21"/>
          <w:szCs w:val="21"/>
          <w:lang w:eastAsia="en-GB"/>
        </w:rPr>
      </w:pPr>
      <w:r w:rsidRPr="00D06BDC">
        <w:rPr>
          <w:rFonts w:ascii="Segoe UI" w:hAnsi="Segoe UI" w:eastAsia="Times New Roman" w:cs="Segoe UI"/>
          <w:sz w:val="21"/>
          <w:szCs w:val="21"/>
          <w:lang w:eastAsia="en-GB"/>
        </w:rPr>
        <w:t>Rivarox</w:t>
      </w:r>
      <w:r w:rsidR="002511C1">
        <w:rPr>
          <w:rFonts w:ascii="Segoe UI" w:hAnsi="Segoe UI" w:eastAsia="Times New Roman" w:cs="Segoe UI"/>
          <w:sz w:val="21"/>
          <w:szCs w:val="21"/>
          <w:lang w:eastAsia="en-GB"/>
        </w:rPr>
        <w:t>aban</w:t>
      </w:r>
      <w:r w:rsidRPr="00D06BDC">
        <w:rPr>
          <w:rFonts w:ascii="Segoe UI" w:hAnsi="Segoe UI" w:eastAsia="Times New Roman" w:cs="Segoe UI"/>
          <w:sz w:val="21"/>
          <w:szCs w:val="21"/>
          <w:lang w:eastAsia="en-GB"/>
        </w:rPr>
        <w:t xml:space="preserve"> post consult letter </w:t>
      </w:r>
      <w:hyperlink w:tgtFrame="_blank" w:tooltip="https://nhsdorsetgp.sharepoint.com/sites/medicines/resources/edoxaban%20resources/rivaroxaban%20post%20consult%20template%20letter%20(1).docx?web=1" w:history="1" r:id="rId14">
        <w:r w:rsidRPr="00D06BDC">
          <w:rPr>
            <w:rFonts w:ascii="Segoe UI" w:hAnsi="Segoe UI" w:eastAsia="Times New Roman" w:cs="Segoe UI"/>
            <w:color w:val="0070C0"/>
            <w:sz w:val="21"/>
            <w:szCs w:val="21"/>
            <w:u w:val="single"/>
            <w:lang w:eastAsia="en-GB"/>
          </w:rPr>
          <w:t>https://nhsdorsetgp.sharepoint.com/sites/Medicines/Resources/Edoxaban%20resources/Rivaroxaban%20Post%20Consult%20Template%20Letter%20(1).docx?web=1</w:t>
        </w:r>
      </w:hyperlink>
    </w:p>
    <w:p w:rsidR="00D06BDC" w:rsidP="00D06BDC" w:rsidRDefault="00D06BDC" w14:paraId="41D25EF8" w14:textId="3056490C">
      <w:pPr>
        <w:spacing w:before="100" w:beforeAutospacing="1" w:after="100" w:afterAutospacing="1" w:line="240" w:lineRule="auto"/>
        <w:rPr>
          <w:rFonts w:ascii="Segoe UI" w:hAnsi="Segoe UI" w:eastAsia="Times New Roman" w:cs="Segoe UI"/>
          <w:sz w:val="21"/>
          <w:szCs w:val="21"/>
          <w:lang w:eastAsia="en-GB"/>
        </w:rPr>
      </w:pPr>
      <w:r w:rsidRPr="00D06BDC">
        <w:rPr>
          <w:rFonts w:ascii="Segoe UI" w:hAnsi="Segoe UI" w:eastAsia="Times New Roman" w:cs="Segoe UI"/>
          <w:sz w:val="21"/>
          <w:szCs w:val="21"/>
          <w:lang w:eastAsia="en-GB"/>
        </w:rPr>
        <w:t xml:space="preserve">Apixaban post consult letter </w:t>
      </w:r>
      <w:hyperlink w:tgtFrame="_blank" w:tooltip="https://nhsdorsetgp.sharepoint.com/sites/medicines/resources/edoxaban%20resources/apixaban%20post%20consult%20template%20letter.docx?web=1" w:history="1" r:id="rId15">
        <w:r w:rsidRPr="00D06BDC">
          <w:rPr>
            <w:rFonts w:ascii="Segoe UI" w:hAnsi="Segoe UI" w:eastAsia="Times New Roman" w:cs="Segoe UI"/>
            <w:color w:val="0070C0"/>
            <w:sz w:val="21"/>
            <w:szCs w:val="21"/>
            <w:u w:val="single"/>
            <w:lang w:eastAsia="en-GB"/>
          </w:rPr>
          <w:t>https://nhsdorsetgp.sharepoint.com/sites/Medicines/Resources/Edoxaban%20resources/Apixaban%20post%20consult%20template%20letter.docx?web=1</w:t>
        </w:r>
      </w:hyperlink>
    </w:p>
    <w:p w:rsidR="000454E7" w:rsidP="00D06BDC" w:rsidRDefault="000454E7" w14:paraId="3E30733E" w14:textId="77777777">
      <w:pPr>
        <w:spacing w:before="100" w:beforeAutospacing="1" w:after="100" w:afterAutospacing="1" w:line="240" w:lineRule="auto"/>
        <w:rPr>
          <w:rFonts w:ascii="Segoe UI" w:hAnsi="Segoe UI" w:cs="Segoe UI"/>
          <w:color w:val="242424"/>
          <w:sz w:val="21"/>
          <w:szCs w:val="21"/>
          <w:shd w:val="clear" w:color="auto" w:fill="FFFFFF"/>
        </w:rPr>
      </w:pPr>
      <w:r w:rsidRPr="000454E7">
        <w:rPr>
          <w:rFonts w:ascii="Segoe UI" w:hAnsi="Segoe UI" w:cs="Segoe UI"/>
          <w:color w:val="242424"/>
          <w:sz w:val="21"/>
          <w:szCs w:val="21"/>
          <w:shd w:val="clear" w:color="auto" w:fill="FFFFFF"/>
        </w:rPr>
        <w:t>DOAC review</w:t>
      </w:r>
      <w:r>
        <w:rPr>
          <w:rFonts w:ascii="Segoe UI" w:hAnsi="Segoe UI" w:cs="Segoe UI"/>
          <w:color w:val="242424"/>
          <w:sz w:val="21"/>
          <w:szCs w:val="21"/>
          <w:shd w:val="clear" w:color="auto" w:fill="FFFFFF"/>
        </w:rPr>
        <w:t xml:space="preserve"> </w:t>
      </w:r>
      <w:r w:rsidRPr="000454E7">
        <w:rPr>
          <w:rFonts w:ascii="Segoe UI" w:hAnsi="Segoe UI" w:cs="Segoe UI"/>
          <w:color w:val="242424"/>
          <w:sz w:val="21"/>
          <w:szCs w:val="21"/>
          <w:shd w:val="clear" w:color="auto" w:fill="FFFFFF"/>
        </w:rPr>
        <w:t>letter</w:t>
      </w:r>
    </w:p>
    <w:p w:rsidRPr="00D06BDC" w:rsidR="00D06BDC" w:rsidP="00D06BDC" w:rsidRDefault="000454E7" w14:paraId="793D2520" w14:textId="46336EDA">
      <w:pPr>
        <w:spacing w:before="100" w:beforeAutospacing="1" w:after="100" w:afterAutospacing="1" w:line="240" w:lineRule="auto"/>
        <w:rPr>
          <w:rFonts w:ascii="Segoe UI" w:hAnsi="Segoe UI" w:cs="Segoe UI"/>
          <w:color w:val="0070C0"/>
          <w:sz w:val="21"/>
          <w:szCs w:val="21"/>
          <w:shd w:val="clear" w:color="auto" w:fill="FFFFFF"/>
        </w:rPr>
      </w:pPr>
      <w:r w:rsidRPr="002511C1">
        <w:rPr>
          <w:rFonts w:ascii="Segoe UI" w:hAnsi="Segoe UI" w:cs="Segoe UI"/>
          <w:color w:val="0070C0"/>
          <w:sz w:val="21"/>
          <w:szCs w:val="21"/>
          <w:shd w:val="clear" w:color="auto" w:fill="FFFFFF"/>
        </w:rPr>
        <w:t> </w:t>
      </w:r>
      <w:hyperlink w:tgtFrame="_blank" w:tooltip="https://nhsdorsetgp.sharepoint.com/sites/medicines/resources/edoxaban%20resources/doac%20review%20invite%20letter%20template.docx?web=1" w:history="1" r:id="rId16">
        <w:r w:rsidRPr="002511C1">
          <w:rPr>
            <w:rFonts w:ascii="Segoe UI" w:hAnsi="Segoe UI" w:cs="Segoe UI"/>
            <w:color w:val="0070C0"/>
            <w:sz w:val="21"/>
            <w:szCs w:val="21"/>
            <w:u w:val="single"/>
            <w:shd w:val="clear" w:color="auto" w:fill="FFFFFF"/>
          </w:rPr>
          <w:t>https://nhsdorsetgp.sharepoint.com/sites/Medicines/Resources/Edoxaban%20resources/DOAC%20Review%20Invite%20Letter%20Template.docx?web=1</w:t>
        </w:r>
      </w:hyperlink>
    </w:p>
    <w:p w:rsidRPr="00427910" w:rsidR="0043074F" w:rsidP="1BD5C7BB" w:rsidRDefault="0043074F" w14:paraId="08758749" w14:textId="3E9233D3">
      <w:pPr>
        <w:rPr>
          <w:rFonts w:ascii="Arial" w:hAnsi="Arial" w:cs="Arial"/>
          <w:sz w:val="20"/>
          <w:szCs w:val="20"/>
        </w:rPr>
      </w:pPr>
    </w:p>
    <w:p w:rsidR="00B00A2B" w:rsidP="5F17D3B3" w:rsidRDefault="00B77D2C" w14:paraId="124EE686" w14:textId="0138C659">
      <w:pPr>
        <w:rPr>
          <w:rFonts w:ascii="Arial" w:hAnsi="Arial" w:cs="Arial"/>
          <w:sz w:val="20"/>
          <w:szCs w:val="20"/>
        </w:rPr>
      </w:pPr>
      <w:r w:rsidRPr="6F011CAF">
        <w:rPr>
          <w:rFonts w:ascii="Arial" w:hAnsi="Arial" w:cs="Arial"/>
          <w:sz w:val="20"/>
          <w:szCs w:val="20"/>
        </w:rPr>
        <w:t xml:space="preserve">Text </w:t>
      </w:r>
      <w:r w:rsidR="00B00A2B">
        <w:rPr>
          <w:rFonts w:ascii="Arial" w:hAnsi="Arial" w:cs="Arial"/>
          <w:sz w:val="20"/>
          <w:szCs w:val="20"/>
        </w:rPr>
        <w:t>template</w:t>
      </w:r>
    </w:p>
    <w:p w:rsidR="2E4AEF1B" w:rsidP="5F17D3B3" w:rsidRDefault="000454E7" w14:paraId="30FBEE39" w14:textId="3E7E6754">
      <w:pPr>
        <w:rPr>
          <w:rFonts w:ascii="Arial" w:hAnsi="Arial" w:cs="Arial"/>
          <w:sz w:val="20"/>
          <w:szCs w:val="20"/>
        </w:rPr>
      </w:pPr>
      <w:r>
        <w:rPr>
          <w:rFonts w:ascii="Arial" w:hAnsi="Arial" w:cs="Arial"/>
          <w:sz w:val="20"/>
          <w:szCs w:val="20"/>
        </w:rPr>
        <w:t xml:space="preserve"> </w:t>
      </w:r>
      <w:r w:rsidRPr="002511C1" w:rsidR="00B00A2B">
        <w:rPr>
          <w:rFonts w:ascii="Segoe UI" w:hAnsi="Segoe UI" w:cs="Segoe UI"/>
          <w:color w:val="0070C0"/>
          <w:sz w:val="21"/>
          <w:szCs w:val="21"/>
          <w:shd w:val="clear" w:color="auto" w:fill="FFFFFF"/>
        </w:rPr>
        <w:t> </w:t>
      </w:r>
      <w:hyperlink w:tgtFrame="_blank" w:tooltip="https://nhsdorsetgp.sharepoint.com/sites/medicines/resources/edoxaban%20resources/doac%20txt%20template.docx?web=1" w:history="1" r:id="rId17">
        <w:r w:rsidRPr="002511C1" w:rsidR="00B00A2B">
          <w:rPr>
            <w:rFonts w:ascii="Segoe UI" w:hAnsi="Segoe UI" w:cs="Segoe UI"/>
            <w:color w:val="0070C0"/>
            <w:sz w:val="21"/>
            <w:szCs w:val="21"/>
            <w:u w:val="single"/>
            <w:shd w:val="clear" w:color="auto" w:fill="FFFFFF"/>
          </w:rPr>
          <w:t>https://nhsdorsetgp.sharepoint.com/sites/Medicines/Resources/Edoxaban%20resources/DOAC%20TxT%20template.docx?web=1</w:t>
        </w:r>
      </w:hyperlink>
      <w:r w:rsidR="2E4AEF1B">
        <w:tab/>
      </w:r>
    </w:p>
    <w:p w:rsidR="00B00A2B" w:rsidP="6F011CAF" w:rsidRDefault="00B00A2B" w14:paraId="6F846B00" w14:textId="77777777">
      <w:pPr>
        <w:rPr>
          <w:rFonts w:ascii="Arial" w:hAnsi="Arial" w:cs="Arial"/>
          <w:b/>
          <w:bCs/>
          <w:sz w:val="20"/>
          <w:szCs w:val="20"/>
        </w:rPr>
      </w:pPr>
    </w:p>
    <w:p w:rsidR="0B848008" w:rsidP="6F011CAF" w:rsidRDefault="0B848008" w14:paraId="794F9242" w14:textId="40595CB8">
      <w:pPr>
        <w:rPr>
          <w:rFonts w:ascii="Arial" w:hAnsi="Arial" w:cs="Arial"/>
          <w:sz w:val="20"/>
          <w:szCs w:val="20"/>
        </w:rPr>
      </w:pPr>
      <w:r w:rsidRPr="00B00A2B">
        <w:rPr>
          <w:rFonts w:ascii="Arial" w:hAnsi="Arial" w:cs="Arial"/>
          <w:b/>
          <w:bCs/>
          <w:sz w:val="20"/>
          <w:szCs w:val="20"/>
        </w:rPr>
        <w:lastRenderedPageBreak/>
        <w:t xml:space="preserve">DOAC Initiative FAQ document hosted on formulary </w:t>
      </w:r>
      <w:hyperlink w:anchor="5332" r:id="rId18">
        <w:r w:rsidRPr="002511C1" w:rsidR="6F011CAF">
          <w:rPr>
            <w:rStyle w:val="Hyperlink"/>
            <w:rFonts w:ascii="Arial" w:hAnsi="Arial" w:cs="Arial"/>
            <w:color w:val="0070C0"/>
            <w:sz w:val="20"/>
            <w:szCs w:val="20"/>
          </w:rPr>
          <w:t>http://www.dorsetformulary.nhs.uk/chaptersSubDetails.asp?FormularySectionID=2&amp;SubSectionRef=02.08.02&amp;SubSectionID=A100#5332</w:t>
        </w:r>
      </w:hyperlink>
    </w:p>
    <w:p w:rsidR="0043074F" w:rsidP="00117609" w:rsidRDefault="2E4AEF1B" w14:paraId="608DC5D9" w14:textId="5ADDF567">
      <w:pPr>
        <w:rPr>
          <w:rFonts w:ascii="Arial" w:hAnsi="Arial" w:cs="Arial"/>
          <w:b/>
          <w:bCs/>
          <w:sz w:val="20"/>
          <w:szCs w:val="20"/>
        </w:rPr>
      </w:pPr>
      <w:r w:rsidRPr="00B00A2B">
        <w:rPr>
          <w:rFonts w:ascii="Arial" w:hAnsi="Arial" w:cs="Arial"/>
          <w:b/>
          <w:bCs/>
          <w:sz w:val="20"/>
          <w:szCs w:val="20"/>
        </w:rPr>
        <w:t xml:space="preserve">DOAC Audit </w:t>
      </w:r>
      <w:r w:rsidR="00C0755B">
        <w:rPr>
          <w:rFonts w:ascii="Arial" w:hAnsi="Arial" w:cs="Arial"/>
          <w:b/>
          <w:bCs/>
          <w:sz w:val="20"/>
          <w:szCs w:val="20"/>
        </w:rPr>
        <w:t>Report</w:t>
      </w:r>
    </w:p>
    <w:p w:rsidRPr="002511C1" w:rsidR="00B00A2B" w:rsidP="00117609" w:rsidRDefault="00C0755B" w14:paraId="7F3B53E2" w14:textId="62EED8C9">
      <w:pPr>
        <w:rPr>
          <w:rFonts w:ascii="Arial" w:hAnsi="Arial" w:cs="Arial"/>
          <w:color w:val="0070C0"/>
          <w:sz w:val="20"/>
          <w:szCs w:val="20"/>
        </w:rPr>
      </w:pPr>
      <w:hyperlink w:history="1" r:id="rId19">
        <w:r w:rsidRPr="002511C1">
          <w:rPr>
            <w:rStyle w:val="Hyperlink"/>
            <w:rFonts w:ascii="Arial" w:hAnsi="Arial" w:cs="Arial"/>
            <w:color w:val="0070C0"/>
            <w:sz w:val="20"/>
            <w:szCs w:val="20"/>
          </w:rPr>
          <w:t>https://nhsdorsetgp.sharepoint.com/sites/Medicines/Resources/Edoxaban%20resources/Dorset%20CCG%20DOAC%20audit%20report%2022.docx?web=1</w:t>
        </w:r>
      </w:hyperlink>
    </w:p>
    <w:p w:rsidR="00C0755B" w:rsidP="00117609" w:rsidRDefault="003C05CD" w14:paraId="7FFF926C" w14:textId="2DAEE5DC">
      <w:pPr>
        <w:rPr>
          <w:rFonts w:ascii="Arial" w:hAnsi="Arial" w:cs="Arial"/>
          <w:b/>
          <w:bCs/>
          <w:sz w:val="20"/>
          <w:szCs w:val="20"/>
        </w:rPr>
      </w:pPr>
      <w:r w:rsidRPr="003C05CD">
        <w:rPr>
          <w:rFonts w:ascii="Arial" w:hAnsi="Arial" w:cs="Arial"/>
          <w:b/>
          <w:bCs/>
          <w:sz w:val="20"/>
          <w:szCs w:val="20"/>
        </w:rPr>
        <w:t>Communication to Community Pharmacy</w:t>
      </w:r>
    </w:p>
    <w:p w:rsidRPr="002511C1" w:rsidR="003C05CD" w:rsidP="00117609" w:rsidRDefault="006E422C" w14:paraId="29B4E28B" w14:textId="0D6B1770">
      <w:pPr>
        <w:rPr>
          <w:rFonts w:ascii="Arial" w:hAnsi="Arial" w:cs="Arial"/>
          <w:color w:val="0070C0"/>
          <w:sz w:val="20"/>
          <w:szCs w:val="20"/>
        </w:rPr>
      </w:pPr>
      <w:hyperlink w:history="1" r:id="rId20">
        <w:r w:rsidRPr="002511C1">
          <w:rPr>
            <w:rStyle w:val="Hyperlink"/>
            <w:rFonts w:ascii="Arial" w:hAnsi="Arial" w:cs="Arial"/>
            <w:color w:val="0070C0"/>
            <w:sz w:val="20"/>
            <w:szCs w:val="20"/>
          </w:rPr>
          <w:t>https://nhsdorsetgp.sharepoint.com/sites/Medicines/Resources/Edoxaban%20resources/Community%20Pharmacy%20communication.docx?web=1</w:t>
        </w:r>
      </w:hyperlink>
    </w:p>
    <w:p w:rsidRPr="003C05CD" w:rsidR="006E422C" w:rsidP="00117609" w:rsidRDefault="006E422C" w14:paraId="62E0CDEB" w14:textId="77777777">
      <w:pPr>
        <w:rPr>
          <w:rFonts w:ascii="Arial" w:hAnsi="Arial" w:cs="Arial"/>
          <w:b/>
          <w:bCs/>
          <w:sz w:val="20"/>
          <w:szCs w:val="20"/>
        </w:rPr>
      </w:pPr>
    </w:p>
    <w:p w:rsidRPr="00B00A2B" w:rsidR="00C0755B" w:rsidP="00117609" w:rsidRDefault="00C0755B" w14:paraId="2950CC87" w14:textId="77777777">
      <w:pPr>
        <w:rPr>
          <w:rFonts w:ascii="Arial" w:hAnsi="Arial" w:cs="Arial"/>
          <w:b/>
          <w:bCs/>
          <w:sz w:val="20"/>
          <w:szCs w:val="20"/>
        </w:rPr>
      </w:pPr>
    </w:p>
    <w:p w:rsidRPr="00427910" w:rsidR="00377E52" w:rsidP="00117609" w:rsidRDefault="00377E52" w14:paraId="52CD7834" w14:textId="77777777">
      <w:pPr>
        <w:rPr>
          <w:rFonts w:ascii="Arial" w:hAnsi="Arial" w:cs="Arial"/>
          <w:sz w:val="20"/>
          <w:szCs w:val="20"/>
        </w:rPr>
      </w:pPr>
    </w:p>
    <w:sectPr w:rsidRPr="00427910" w:rsidR="00377E5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6X/4wpXdfDElP/" int2:id="9Oh4GQVX">
      <int2:state int2:type="AugLoop_Text_Critique" int2:value="Rejected"/>
    </int2:textHash>
    <int2:textHash int2:hashCode="Unn3Qdg1MZCrVE" int2:id="MGpWJdA1">
      <int2:state int2:type="AugLoop_Acronyms_AcronymsCritique" int2:value="Rejected"/>
    </int2:textHash>
    <int2:textHash int2:hashCode="A2iLpqo0C4dUkI" int2:id="x3l9g76J">
      <int2:state int2:type="AugLoop_Acronyms_AcronymsCritique" int2:value="Rejected"/>
    </int2:textHash>
    <int2:textHash int2:hashCode="VX/g/H8wTThDyt" int2:id="M6KiG54o">
      <int2:state int2:type="AugLoop_Acronyms_AcronymsCritique" int2:value="Rejected"/>
    </int2:textHash>
    <int2:textHash int2:hashCode="km9s9FwUFNK2U7" int2:id="8zL2xyPM">
      <int2:state int2:type="LegacyProofing" int2:value="Rejected"/>
    </int2:textHash>
    <int2:textHash int2:hashCode="BtRADEfx9Ei6XX" int2:id="KUVIdJM4">
      <int2:state int2:type="LegacyProofing" int2:value="Rejected"/>
    </int2:textHash>
    <int2:textHash int2:hashCode="ukb5gulIavWFLO" int2:id="M6PoIhvQ">
      <int2:state int2:type="LegacyProofing" int2:value="Rejected"/>
    </int2:textHash>
    <int2:textHash int2:hashCode="6xcaQgxm55QD+C" int2:id="JUHHEdRY">
      <int2:state int2:type="AugLoop_Acronyms_AcronymsCritique" int2:value="Rejected"/>
    </int2:textHash>
    <int2:textHash int2:hashCode="J+Af/UCRCe+EVR" int2:id="XJLf8pdH">
      <int2:state int2:type="AugLoop_Acronyms_AcronymsCritique" int2:value="Rejected"/>
    </int2:textHash>
    <int2:textHash int2:hashCode="hcKAYiV7sTWi8c" int2:id="iPawpSdO">
      <int2:state int2:type="AugLoop_Acronyms_AcronymsCritique" int2:value="Rejected"/>
    </int2:textHash>
    <int2:textHash int2:hashCode="ZDIJgfsGhdbKgU" int2:id="DRzq6pux">
      <int2:state int2:type="AugLoop_Acronyms_AcronymsCritique" int2:value="Rejected"/>
    </int2:textHash>
    <int2:textHash int2:hashCode="qbALIKJxgGmOU9" int2:id="MxiSIQ45">
      <int2:state int2:type="AugLoop_Acronyms_AcronymsCritique" int2:value="Rejected"/>
    </int2:textHash>
    <int2:textHash int2:hashCode="dok5cwTb+iGNmi" int2:id="FghDQzzk">
      <int2:state int2:type="AugLoop_Acronyms_AcronymsCritique" int2:value="Rejected"/>
    </int2:textHash>
    <int2:textHash int2:hashCode="Mtpn3UCpPGKmiy" int2:id="In6xQjzJ">
      <int2:state int2:type="AugLoop_Acronyms_AcronymsCritique" int2:value="Rejected"/>
    </int2:textHash>
    <int2:textHash int2:hashCode="J/jPU/OvOkbuDQ" int2:id="3kwRNWzE">
      <int2:state int2:type="AugLoop_Text_Critique" int2:value="Rejected"/>
    </int2:textHash>
    <int2:textHash int2:hashCode="hxB2QmUJF8p5TW" int2:id="3hSDO7DD">
      <int2:state int2:type="LegacyProofing" int2:value="Rejected"/>
    </int2:textHash>
    <int2:textHash int2:hashCode="ySMwpddV9fPjZX" int2:id="DJP7luCo">
      <int2:state int2:type="LegacyProofing"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3B6"/>
    <w:multiLevelType w:val="hybridMultilevel"/>
    <w:tmpl w:val="D1D0A7BE"/>
    <w:lvl w:ilvl="0" w:tplc="C88085E8">
      <w:start w:val="1"/>
      <w:numFmt w:val="bullet"/>
      <w:lvlText w:val=""/>
      <w:lvlJc w:val="left"/>
      <w:pPr>
        <w:ind w:left="720" w:hanging="360"/>
      </w:pPr>
      <w:rPr>
        <w:rFonts w:hint="default" w:ascii="Symbol" w:hAnsi="Symbol"/>
      </w:rPr>
    </w:lvl>
    <w:lvl w:ilvl="1" w:tplc="9034C6C6">
      <w:start w:val="1"/>
      <w:numFmt w:val="bullet"/>
      <w:lvlText w:val="o"/>
      <w:lvlJc w:val="left"/>
      <w:pPr>
        <w:ind w:left="1440" w:hanging="360"/>
      </w:pPr>
      <w:rPr>
        <w:rFonts w:hint="default" w:ascii="Courier New" w:hAnsi="Courier New"/>
      </w:rPr>
    </w:lvl>
    <w:lvl w:ilvl="2" w:tplc="336AEDFC">
      <w:start w:val="1"/>
      <w:numFmt w:val="bullet"/>
      <w:lvlText w:val=""/>
      <w:lvlJc w:val="left"/>
      <w:pPr>
        <w:ind w:left="2160" w:hanging="360"/>
      </w:pPr>
      <w:rPr>
        <w:rFonts w:hint="default" w:ascii="Wingdings" w:hAnsi="Wingdings"/>
      </w:rPr>
    </w:lvl>
    <w:lvl w:ilvl="3" w:tplc="9FACF988">
      <w:start w:val="1"/>
      <w:numFmt w:val="bullet"/>
      <w:lvlText w:val=""/>
      <w:lvlJc w:val="left"/>
      <w:pPr>
        <w:ind w:left="2880" w:hanging="360"/>
      </w:pPr>
      <w:rPr>
        <w:rFonts w:hint="default" w:ascii="Symbol" w:hAnsi="Symbol"/>
      </w:rPr>
    </w:lvl>
    <w:lvl w:ilvl="4" w:tplc="7F12718C">
      <w:start w:val="1"/>
      <w:numFmt w:val="bullet"/>
      <w:lvlText w:val="o"/>
      <w:lvlJc w:val="left"/>
      <w:pPr>
        <w:ind w:left="3600" w:hanging="360"/>
      </w:pPr>
      <w:rPr>
        <w:rFonts w:hint="default" w:ascii="Courier New" w:hAnsi="Courier New"/>
      </w:rPr>
    </w:lvl>
    <w:lvl w:ilvl="5" w:tplc="86E43C24">
      <w:start w:val="1"/>
      <w:numFmt w:val="bullet"/>
      <w:lvlText w:val=""/>
      <w:lvlJc w:val="left"/>
      <w:pPr>
        <w:ind w:left="4320" w:hanging="360"/>
      </w:pPr>
      <w:rPr>
        <w:rFonts w:hint="default" w:ascii="Wingdings" w:hAnsi="Wingdings"/>
      </w:rPr>
    </w:lvl>
    <w:lvl w:ilvl="6" w:tplc="91B8A1BE">
      <w:start w:val="1"/>
      <w:numFmt w:val="bullet"/>
      <w:lvlText w:val=""/>
      <w:lvlJc w:val="left"/>
      <w:pPr>
        <w:ind w:left="5040" w:hanging="360"/>
      </w:pPr>
      <w:rPr>
        <w:rFonts w:hint="default" w:ascii="Symbol" w:hAnsi="Symbol"/>
      </w:rPr>
    </w:lvl>
    <w:lvl w:ilvl="7" w:tplc="9BFA5570">
      <w:start w:val="1"/>
      <w:numFmt w:val="bullet"/>
      <w:lvlText w:val="o"/>
      <w:lvlJc w:val="left"/>
      <w:pPr>
        <w:ind w:left="5760" w:hanging="360"/>
      </w:pPr>
      <w:rPr>
        <w:rFonts w:hint="default" w:ascii="Courier New" w:hAnsi="Courier New"/>
      </w:rPr>
    </w:lvl>
    <w:lvl w:ilvl="8" w:tplc="37F2BC00">
      <w:start w:val="1"/>
      <w:numFmt w:val="bullet"/>
      <w:lvlText w:val=""/>
      <w:lvlJc w:val="left"/>
      <w:pPr>
        <w:ind w:left="6480" w:hanging="360"/>
      </w:pPr>
      <w:rPr>
        <w:rFonts w:hint="default" w:ascii="Wingdings" w:hAnsi="Wingdings"/>
      </w:rPr>
    </w:lvl>
  </w:abstractNum>
  <w:abstractNum w:abstractNumId="1" w15:restartNumberingAfterBreak="0">
    <w:nsid w:val="715F1FD7"/>
    <w:multiLevelType w:val="hybridMultilevel"/>
    <w:tmpl w:val="5358DA40"/>
    <w:lvl w:ilvl="0" w:tplc="7690045A">
      <w:start w:val="1"/>
      <w:numFmt w:val="bullet"/>
      <w:lvlText w:val=""/>
      <w:lvlJc w:val="left"/>
      <w:pPr>
        <w:ind w:left="720" w:hanging="360"/>
      </w:pPr>
      <w:rPr>
        <w:rFonts w:hint="default" w:ascii="Symbol" w:hAnsi="Symbol"/>
      </w:rPr>
    </w:lvl>
    <w:lvl w:ilvl="1" w:tplc="2D1E5778">
      <w:start w:val="1"/>
      <w:numFmt w:val="bullet"/>
      <w:lvlText w:val="o"/>
      <w:lvlJc w:val="left"/>
      <w:pPr>
        <w:ind w:left="1440" w:hanging="360"/>
      </w:pPr>
      <w:rPr>
        <w:rFonts w:hint="default" w:ascii="Courier New" w:hAnsi="Courier New"/>
      </w:rPr>
    </w:lvl>
    <w:lvl w:ilvl="2" w:tplc="2CF65E44">
      <w:start w:val="1"/>
      <w:numFmt w:val="bullet"/>
      <w:lvlText w:val=""/>
      <w:lvlJc w:val="left"/>
      <w:pPr>
        <w:ind w:left="2160" w:hanging="360"/>
      </w:pPr>
      <w:rPr>
        <w:rFonts w:hint="default" w:ascii="Wingdings" w:hAnsi="Wingdings"/>
      </w:rPr>
    </w:lvl>
    <w:lvl w:ilvl="3" w:tplc="E32ED750">
      <w:start w:val="1"/>
      <w:numFmt w:val="bullet"/>
      <w:lvlText w:val=""/>
      <w:lvlJc w:val="left"/>
      <w:pPr>
        <w:ind w:left="2880" w:hanging="360"/>
      </w:pPr>
      <w:rPr>
        <w:rFonts w:hint="default" w:ascii="Symbol" w:hAnsi="Symbol"/>
      </w:rPr>
    </w:lvl>
    <w:lvl w:ilvl="4" w:tplc="A9D86A6C">
      <w:start w:val="1"/>
      <w:numFmt w:val="bullet"/>
      <w:lvlText w:val="o"/>
      <w:lvlJc w:val="left"/>
      <w:pPr>
        <w:ind w:left="3600" w:hanging="360"/>
      </w:pPr>
      <w:rPr>
        <w:rFonts w:hint="default" w:ascii="Courier New" w:hAnsi="Courier New"/>
      </w:rPr>
    </w:lvl>
    <w:lvl w:ilvl="5" w:tplc="358A668A">
      <w:start w:val="1"/>
      <w:numFmt w:val="bullet"/>
      <w:lvlText w:val=""/>
      <w:lvlJc w:val="left"/>
      <w:pPr>
        <w:ind w:left="4320" w:hanging="360"/>
      </w:pPr>
      <w:rPr>
        <w:rFonts w:hint="default" w:ascii="Wingdings" w:hAnsi="Wingdings"/>
      </w:rPr>
    </w:lvl>
    <w:lvl w:ilvl="6" w:tplc="1CDC9816">
      <w:start w:val="1"/>
      <w:numFmt w:val="bullet"/>
      <w:lvlText w:val=""/>
      <w:lvlJc w:val="left"/>
      <w:pPr>
        <w:ind w:left="5040" w:hanging="360"/>
      </w:pPr>
      <w:rPr>
        <w:rFonts w:hint="default" w:ascii="Symbol" w:hAnsi="Symbol"/>
      </w:rPr>
    </w:lvl>
    <w:lvl w:ilvl="7" w:tplc="31DC5050">
      <w:start w:val="1"/>
      <w:numFmt w:val="bullet"/>
      <w:lvlText w:val="o"/>
      <w:lvlJc w:val="left"/>
      <w:pPr>
        <w:ind w:left="5760" w:hanging="360"/>
      </w:pPr>
      <w:rPr>
        <w:rFonts w:hint="default" w:ascii="Courier New" w:hAnsi="Courier New"/>
      </w:rPr>
    </w:lvl>
    <w:lvl w:ilvl="8" w:tplc="A7BC532C">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72"/>
    <w:rsid w:val="00003B58"/>
    <w:rsid w:val="000239A2"/>
    <w:rsid w:val="0002744F"/>
    <w:rsid w:val="00040E24"/>
    <w:rsid w:val="000454E7"/>
    <w:rsid w:val="0007235E"/>
    <w:rsid w:val="00091F71"/>
    <w:rsid w:val="000C39CE"/>
    <w:rsid w:val="000F1BB3"/>
    <w:rsid w:val="00117609"/>
    <w:rsid w:val="00212EE7"/>
    <w:rsid w:val="00234D64"/>
    <w:rsid w:val="00241180"/>
    <w:rsid w:val="002511C1"/>
    <w:rsid w:val="00256FF2"/>
    <w:rsid w:val="002A3049"/>
    <w:rsid w:val="002D3EC2"/>
    <w:rsid w:val="00377E52"/>
    <w:rsid w:val="003C05CD"/>
    <w:rsid w:val="003C4EC0"/>
    <w:rsid w:val="003D3682"/>
    <w:rsid w:val="003E7CDA"/>
    <w:rsid w:val="00427910"/>
    <w:rsid w:val="0043074F"/>
    <w:rsid w:val="00486C8B"/>
    <w:rsid w:val="00490876"/>
    <w:rsid w:val="004F1953"/>
    <w:rsid w:val="0050353A"/>
    <w:rsid w:val="005522AE"/>
    <w:rsid w:val="0056ABF7"/>
    <w:rsid w:val="005C21D2"/>
    <w:rsid w:val="005C2785"/>
    <w:rsid w:val="005E205F"/>
    <w:rsid w:val="005F7E03"/>
    <w:rsid w:val="00624B98"/>
    <w:rsid w:val="00637C99"/>
    <w:rsid w:val="006B4762"/>
    <w:rsid w:val="006E422C"/>
    <w:rsid w:val="00724CC6"/>
    <w:rsid w:val="007E7F72"/>
    <w:rsid w:val="00813F90"/>
    <w:rsid w:val="00880503"/>
    <w:rsid w:val="00892C1E"/>
    <w:rsid w:val="0092496F"/>
    <w:rsid w:val="00971CCB"/>
    <w:rsid w:val="0098123A"/>
    <w:rsid w:val="009B2A4C"/>
    <w:rsid w:val="00A66BF6"/>
    <w:rsid w:val="00AB08D4"/>
    <w:rsid w:val="00AC76C9"/>
    <w:rsid w:val="00B00A2B"/>
    <w:rsid w:val="00B77D2C"/>
    <w:rsid w:val="00B8234E"/>
    <w:rsid w:val="00B83590"/>
    <w:rsid w:val="00BA0013"/>
    <w:rsid w:val="00C0298E"/>
    <w:rsid w:val="00C04D12"/>
    <w:rsid w:val="00C0755B"/>
    <w:rsid w:val="00C42BEE"/>
    <w:rsid w:val="00C9005A"/>
    <w:rsid w:val="00D06BDC"/>
    <w:rsid w:val="00D37FFD"/>
    <w:rsid w:val="00D64543"/>
    <w:rsid w:val="00DC3BAA"/>
    <w:rsid w:val="00E074E1"/>
    <w:rsid w:val="00E14DCD"/>
    <w:rsid w:val="00E573A0"/>
    <w:rsid w:val="00E84A16"/>
    <w:rsid w:val="00E91EEB"/>
    <w:rsid w:val="00EF1315"/>
    <w:rsid w:val="00F87772"/>
    <w:rsid w:val="00FF0545"/>
    <w:rsid w:val="014987FB"/>
    <w:rsid w:val="028FF0DF"/>
    <w:rsid w:val="04C5EBE5"/>
    <w:rsid w:val="061CF91E"/>
    <w:rsid w:val="0951FF92"/>
    <w:rsid w:val="09D459F9"/>
    <w:rsid w:val="0A2D9729"/>
    <w:rsid w:val="0B848008"/>
    <w:rsid w:val="0EDB2B66"/>
    <w:rsid w:val="1007298C"/>
    <w:rsid w:val="106DE20B"/>
    <w:rsid w:val="109D3D6D"/>
    <w:rsid w:val="10D9D69C"/>
    <w:rsid w:val="12C727A0"/>
    <w:rsid w:val="137F41F0"/>
    <w:rsid w:val="13CAB5D6"/>
    <w:rsid w:val="14340241"/>
    <w:rsid w:val="146FC205"/>
    <w:rsid w:val="17DF2C01"/>
    <w:rsid w:val="18C015EE"/>
    <w:rsid w:val="1AB91967"/>
    <w:rsid w:val="1BD5C7BB"/>
    <w:rsid w:val="1D629818"/>
    <w:rsid w:val="2061ACCD"/>
    <w:rsid w:val="20B1FF76"/>
    <w:rsid w:val="21A85CB7"/>
    <w:rsid w:val="21D65753"/>
    <w:rsid w:val="25857099"/>
    <w:rsid w:val="267C2951"/>
    <w:rsid w:val="27097A5E"/>
    <w:rsid w:val="2846C5D6"/>
    <w:rsid w:val="2BF4B21D"/>
    <w:rsid w:val="2CA82E4E"/>
    <w:rsid w:val="2E4AEF1B"/>
    <w:rsid w:val="3130C965"/>
    <w:rsid w:val="323A8D6E"/>
    <w:rsid w:val="32EEFE61"/>
    <w:rsid w:val="352719DE"/>
    <w:rsid w:val="35EADF5F"/>
    <w:rsid w:val="3ADCA94B"/>
    <w:rsid w:val="3CCDA9E1"/>
    <w:rsid w:val="3E17C5D8"/>
    <w:rsid w:val="3FB39639"/>
    <w:rsid w:val="3FDDD580"/>
    <w:rsid w:val="4054D2E7"/>
    <w:rsid w:val="41A11B04"/>
    <w:rsid w:val="41A8A3CA"/>
    <w:rsid w:val="433CEB65"/>
    <w:rsid w:val="4354B201"/>
    <w:rsid w:val="44F74B90"/>
    <w:rsid w:val="49E7A3B6"/>
    <w:rsid w:val="4D0381CD"/>
    <w:rsid w:val="4E7D6339"/>
    <w:rsid w:val="4F31B87C"/>
    <w:rsid w:val="503EA3CC"/>
    <w:rsid w:val="51B503FB"/>
    <w:rsid w:val="51D98D3E"/>
    <w:rsid w:val="529FDD49"/>
    <w:rsid w:val="56AA6413"/>
    <w:rsid w:val="5705989F"/>
    <w:rsid w:val="57A0C154"/>
    <w:rsid w:val="57D3EBE6"/>
    <w:rsid w:val="5850BC48"/>
    <w:rsid w:val="59CA3E39"/>
    <w:rsid w:val="59E49F23"/>
    <w:rsid w:val="59EC8CA9"/>
    <w:rsid w:val="5D1C3FE5"/>
    <w:rsid w:val="5DEB7995"/>
    <w:rsid w:val="5F17D3B3"/>
    <w:rsid w:val="600E9465"/>
    <w:rsid w:val="620DF3A5"/>
    <w:rsid w:val="63936EEF"/>
    <w:rsid w:val="652F3F50"/>
    <w:rsid w:val="66DFC1A7"/>
    <w:rsid w:val="66EB277F"/>
    <w:rsid w:val="6866E012"/>
    <w:rsid w:val="6B855877"/>
    <w:rsid w:val="6B9E80D4"/>
    <w:rsid w:val="6BEC614F"/>
    <w:rsid w:val="6C4CA4A1"/>
    <w:rsid w:val="6D3A5135"/>
    <w:rsid w:val="6F011CAF"/>
    <w:rsid w:val="6F3CB952"/>
    <w:rsid w:val="6F7CAAC1"/>
    <w:rsid w:val="7071F1F7"/>
    <w:rsid w:val="71187B22"/>
    <w:rsid w:val="72ACE621"/>
    <w:rsid w:val="73A992B9"/>
    <w:rsid w:val="74102A75"/>
    <w:rsid w:val="7479A57B"/>
    <w:rsid w:val="74842D4F"/>
    <w:rsid w:val="7584D4FB"/>
    <w:rsid w:val="76532842"/>
    <w:rsid w:val="77805744"/>
    <w:rsid w:val="790DE226"/>
    <w:rsid w:val="7979D6B7"/>
    <w:rsid w:val="7DA47BB6"/>
    <w:rsid w:val="7F5B8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B19"/>
  <w15:docId w15:val="{F507339E-7A1A-41C4-AC57-8A4F876E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8777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87772"/>
    <w:rPr>
      <w:rFonts w:ascii="Tahoma" w:hAnsi="Tahoma" w:cs="Tahoma"/>
      <w:sz w:val="16"/>
      <w:szCs w:val="16"/>
    </w:rPr>
  </w:style>
  <w:style w:type="character" w:styleId="normaltextrun" w:customStyle="1">
    <w:name w:val="normaltextrun"/>
    <w:basedOn w:val="DefaultParagraphFont"/>
    <w:rsid w:val="00C9005A"/>
  </w:style>
  <w:style w:type="character" w:styleId="Hyperlink">
    <w:name w:val="Hyperlink"/>
    <w:basedOn w:val="DefaultParagraphFont"/>
    <w:uiPriority w:val="99"/>
    <w:unhideWhenUsed/>
    <w:rsid w:val="003C4EC0"/>
    <w:rPr>
      <w:color w:val="0000FF"/>
      <w:u w:val="single"/>
    </w:rPr>
  </w:style>
  <w:style w:type="character" w:styleId="Strong">
    <w:name w:val="Strong"/>
    <w:basedOn w:val="DefaultParagraphFont"/>
    <w:uiPriority w:val="22"/>
    <w:qFormat/>
    <w:rsid w:val="003C4EC0"/>
    <w:rPr>
      <w:b/>
      <w:bCs/>
    </w:rPr>
  </w:style>
  <w:style w:type="character" w:styleId="UnresolvedMention">
    <w:name w:val="Unresolved Mention"/>
    <w:basedOn w:val="DefaultParagraphFont"/>
    <w:uiPriority w:val="99"/>
    <w:semiHidden/>
    <w:unhideWhenUsed/>
    <w:rsid w:val="00D64543"/>
    <w:rPr>
      <w:color w:val="605E5C"/>
      <w:shd w:val="clear" w:color="auto" w:fill="E1DFDD"/>
    </w:rPr>
  </w:style>
  <w:style w:type="character" w:styleId="CommentReference">
    <w:name w:val="annotation reference"/>
    <w:basedOn w:val="DefaultParagraphFont"/>
    <w:uiPriority w:val="99"/>
    <w:semiHidden/>
    <w:unhideWhenUsed/>
    <w:rsid w:val="00486C8B"/>
    <w:rPr>
      <w:sz w:val="16"/>
      <w:szCs w:val="16"/>
    </w:rPr>
  </w:style>
  <w:style w:type="paragraph" w:styleId="CommentText">
    <w:name w:val="annotation text"/>
    <w:basedOn w:val="Normal"/>
    <w:link w:val="CommentTextChar"/>
    <w:uiPriority w:val="99"/>
    <w:semiHidden/>
    <w:unhideWhenUsed/>
    <w:rsid w:val="00486C8B"/>
    <w:pPr>
      <w:spacing w:line="240" w:lineRule="auto"/>
    </w:pPr>
    <w:rPr>
      <w:sz w:val="20"/>
      <w:szCs w:val="20"/>
    </w:rPr>
  </w:style>
  <w:style w:type="character" w:styleId="CommentTextChar" w:customStyle="1">
    <w:name w:val="Comment Text Char"/>
    <w:basedOn w:val="DefaultParagraphFont"/>
    <w:link w:val="CommentText"/>
    <w:uiPriority w:val="99"/>
    <w:semiHidden/>
    <w:rsid w:val="00486C8B"/>
    <w:rPr>
      <w:sz w:val="20"/>
      <w:szCs w:val="20"/>
    </w:rPr>
  </w:style>
  <w:style w:type="paragraph" w:styleId="CommentSubject">
    <w:name w:val="annotation subject"/>
    <w:basedOn w:val="CommentText"/>
    <w:next w:val="CommentText"/>
    <w:link w:val="CommentSubjectChar"/>
    <w:uiPriority w:val="99"/>
    <w:semiHidden/>
    <w:unhideWhenUsed/>
    <w:rsid w:val="00486C8B"/>
    <w:rPr>
      <w:b/>
      <w:bCs/>
    </w:rPr>
  </w:style>
  <w:style w:type="character" w:styleId="CommentSubjectChar" w:customStyle="1">
    <w:name w:val="Comment Subject Char"/>
    <w:basedOn w:val="CommentTextChar"/>
    <w:link w:val="CommentSubject"/>
    <w:uiPriority w:val="99"/>
    <w:semiHidden/>
    <w:rsid w:val="00486C8B"/>
    <w:rPr>
      <w:b/>
      <w:bCs/>
      <w:sz w:val="20"/>
      <w:szCs w:val="20"/>
    </w:rPr>
  </w:style>
  <w:style w:type="paragraph" w:styleId="NormalWeb">
    <w:name w:val="Normal (Web)"/>
    <w:basedOn w:val="Normal"/>
    <w:uiPriority w:val="99"/>
    <w:semiHidden/>
    <w:unhideWhenUsed/>
    <w:rsid w:val="002A3049"/>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6B4762"/>
    <w:rPr>
      <w:color w:val="800080" w:themeColor="followedHyperlink"/>
      <w:u w:val="single"/>
    </w:rPr>
  </w:style>
  <w:style w:type="paragraph" w:styleId="NoSpacing">
    <w:name w:val="No Spacing"/>
    <w:uiPriority w:val="1"/>
    <w:qFormat/>
    <w:rsid w:val="00427910"/>
    <w:pPr>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697">
      <w:bodyDiv w:val="1"/>
      <w:marLeft w:val="0"/>
      <w:marRight w:val="0"/>
      <w:marTop w:val="0"/>
      <w:marBottom w:val="0"/>
      <w:divBdr>
        <w:top w:val="none" w:sz="0" w:space="0" w:color="auto"/>
        <w:left w:val="none" w:sz="0" w:space="0" w:color="auto"/>
        <w:bottom w:val="none" w:sz="0" w:space="0" w:color="auto"/>
        <w:right w:val="none" w:sz="0" w:space="0" w:color="auto"/>
      </w:divBdr>
    </w:div>
    <w:div w:id="7713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eneralpracticebulletin.cmail19.com/t/d-l-fyhhjg-juxdhhltd-g/" TargetMode="External" Id="rId8" /><Relationship Type="http://schemas.openxmlformats.org/officeDocument/2006/relationships/hyperlink" Target="https://nhsdorsetgp.sharepoint.com/sites/Medicines/Resources/Edoxaban%20resources/IIF%2022%2023%20Searches%20and%20Recalls%20Information%20Video.mp4?web=1" TargetMode="External" Id="rId13" /><Relationship Type="http://schemas.openxmlformats.org/officeDocument/2006/relationships/hyperlink" Target="http://www.dorsetformulary.nhs.uk/chaptersSubDetails.asp?FormularySectionID=2&amp;SubSectionRef=02.08.02&amp;SubSectionID=A100"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dorsetformulary.nhs.uk/" TargetMode="External" Id="rId12" /><Relationship Type="http://schemas.openxmlformats.org/officeDocument/2006/relationships/hyperlink" Target="https://nhsdorsetgp.sharepoint.com/sites/Medicines/Resources/Edoxaban%20resources/DOAC%20TxT%20template.docx?web=1" TargetMode="External" Id="rId17" /><Relationship Type="http://schemas.openxmlformats.org/officeDocument/2006/relationships/customXml" Target="../customXml/item2.xml" Id="rId2" /><Relationship Type="http://schemas.openxmlformats.org/officeDocument/2006/relationships/hyperlink" Target="https://nhsdorsetgp.sharepoint.com/sites/Medicines/Resources/Edoxaban%20resources/DOAC%20Review%20Invite%20Letter%20Template.docx?web=1" TargetMode="External" Id="rId16" /><Relationship Type="http://schemas.openxmlformats.org/officeDocument/2006/relationships/hyperlink" Target="https://nhsdorsetgp.sharepoint.com/sites/Medicines/Resources/Edoxaban%20resources/Community%20Pharmacy%20communication.docx?web=1"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ice.org.uk/guidance/ng196" TargetMode="External" Id="rId11" /><Relationship Type="http://schemas.openxmlformats.org/officeDocument/2006/relationships/styles" Target="styles.xml" Id="rId5" /><Relationship Type="http://schemas.openxmlformats.org/officeDocument/2006/relationships/hyperlink" Target="https://nhsdorsetgp.sharepoint.com/sites/Medicines/Resources/Edoxaban%20resources/Apixaban%20post%20consult%20template%20letter.docx?web=1" TargetMode="External" Id="rId15" /><Relationship Type="http://schemas.microsoft.com/office/2020/10/relationships/intelligence" Target="intelligence2.xml" Id="rId23" /><Relationship Type="http://schemas.openxmlformats.org/officeDocument/2006/relationships/hyperlink" Target="https://www.nice.org.uk/guidance/conditions-and-diseases/cardiovascular-conditions/embolism-and-thrombosis/products?GuidanceProgramme=TA" TargetMode="External" Id="rId10" /><Relationship Type="http://schemas.openxmlformats.org/officeDocument/2006/relationships/hyperlink" Target="https://nhsdorsetgp.sharepoint.com/sites/Medicines/Resources/Edoxaban%20resources/Dorset%20CCG%20DOAC%20audit%20report%2022.docx?web=1" TargetMode="External" Id="rId19" /><Relationship Type="http://schemas.openxmlformats.org/officeDocument/2006/relationships/numbering" Target="numbering.xml" Id="rId4" /><Relationship Type="http://schemas.openxmlformats.org/officeDocument/2006/relationships/hyperlink" Target="https://www.england.nhs.uk/publication/network-contract-directed-enhanced-service-investment-and-impact-fund-2022-23-updated-guidance/" TargetMode="External" Id="rId9" /><Relationship Type="http://schemas.openxmlformats.org/officeDocument/2006/relationships/hyperlink" Target="https://nhsdorsetgp.sharepoint.com/sites/Medicines/Resources/Edoxaban%20resources/Rivaroxaban%20Post%20Consult%20Template%20Letter%20(1).docx?web=1"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e48db1-6413-4421-93ff-c771958d5b59" xsi:nil="true"/>
    <lcf76f155ced4ddcb4097134ff3c332f xmlns="75f2f1f1-c8e8-4ae2-b5c9-1df9fd3534f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2" ma:contentTypeDescription="Create a new document." ma:contentTypeScope="" ma:versionID="f7594caa82bba676abc1866a258309b1">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e751a18b85b8a748e40d28cf8ecbe43"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54051-6935-4E2F-A150-7B5621397C01}">
  <ds:schemaRefs>
    <ds:schemaRef ds:uri="http://schemas.microsoft.com/sharepoint/v3/contenttype/forms"/>
  </ds:schemaRefs>
</ds:datastoreItem>
</file>

<file path=customXml/itemProps2.xml><?xml version="1.0" encoding="utf-8"?>
<ds:datastoreItem xmlns:ds="http://schemas.openxmlformats.org/officeDocument/2006/customXml" ds:itemID="{1B468A36-DBFA-43B8-A9D8-EA0F32DB40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E331E6-9444-4075-A1D6-D806E83D4D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Fiona (Dorset CCG)</dc:creator>
  <cp:lastModifiedBy>Arnold, Fiona (Dorset CCG)</cp:lastModifiedBy>
  <cp:revision>69</cp:revision>
  <dcterms:created xsi:type="dcterms:W3CDTF">2022-04-20T15:39:00Z</dcterms:created>
  <dcterms:modified xsi:type="dcterms:W3CDTF">2022-04-28T12:20:14Z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0x010100FEB9A0CA2D315648B1BA2102552B83EA</vt:lpwstr>
  </property>
</Properties>
</file>